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685" w:rsidRDefault="00A04685" w:rsidP="0092280F">
      <w:pPr>
        <w:jc w:val="center"/>
        <w:rPr>
          <w:b/>
          <w:color w:val="FF0000"/>
          <w:sz w:val="22"/>
          <w:szCs w:val="22"/>
        </w:rPr>
      </w:pPr>
    </w:p>
    <w:p w:rsidR="0092280F" w:rsidRPr="00C90C95" w:rsidRDefault="0092280F" w:rsidP="0092280F">
      <w:pPr>
        <w:jc w:val="center"/>
        <w:rPr>
          <w:b/>
          <w:sz w:val="22"/>
          <w:szCs w:val="22"/>
        </w:rPr>
      </w:pPr>
      <w:r w:rsidRPr="00C90C95">
        <w:rPr>
          <w:b/>
          <w:sz w:val="22"/>
          <w:szCs w:val="22"/>
        </w:rPr>
        <w:t xml:space="preserve">BUSINESS </w:t>
      </w:r>
      <w:r w:rsidR="00D230AD">
        <w:rPr>
          <w:b/>
          <w:sz w:val="22"/>
          <w:szCs w:val="22"/>
        </w:rPr>
        <w:t>SESSION</w:t>
      </w:r>
      <w:r w:rsidR="00340D05">
        <w:rPr>
          <w:b/>
          <w:sz w:val="22"/>
          <w:szCs w:val="22"/>
        </w:rPr>
        <w:t xml:space="preserve"> </w:t>
      </w:r>
    </w:p>
    <w:p w:rsidR="0092280F" w:rsidRPr="00C90C95" w:rsidRDefault="0092280F" w:rsidP="0092280F">
      <w:pPr>
        <w:jc w:val="center"/>
        <w:rPr>
          <w:b/>
          <w:sz w:val="22"/>
          <w:szCs w:val="22"/>
        </w:rPr>
      </w:pPr>
      <w:r w:rsidRPr="00C90C95">
        <w:rPr>
          <w:b/>
          <w:sz w:val="22"/>
          <w:szCs w:val="22"/>
        </w:rPr>
        <w:t>BLAIR COUNTY BOARD OF COMMISSIONERS</w:t>
      </w:r>
    </w:p>
    <w:p w:rsidR="0092280F" w:rsidRPr="00C90C95" w:rsidRDefault="0092280F" w:rsidP="0092280F">
      <w:pPr>
        <w:jc w:val="center"/>
        <w:rPr>
          <w:b/>
          <w:sz w:val="22"/>
          <w:szCs w:val="22"/>
        </w:rPr>
      </w:pPr>
      <w:r w:rsidRPr="00C90C95">
        <w:rPr>
          <w:b/>
          <w:sz w:val="22"/>
          <w:szCs w:val="22"/>
        </w:rPr>
        <w:t>COMMISSIONERS MEETING ROOM</w:t>
      </w:r>
    </w:p>
    <w:p w:rsidR="0092280F" w:rsidRPr="00C90C95" w:rsidRDefault="0092280F" w:rsidP="0092280F">
      <w:pPr>
        <w:jc w:val="center"/>
        <w:rPr>
          <w:b/>
          <w:sz w:val="22"/>
          <w:szCs w:val="22"/>
        </w:rPr>
      </w:pPr>
      <w:r w:rsidRPr="00C90C95">
        <w:rPr>
          <w:b/>
          <w:sz w:val="22"/>
          <w:szCs w:val="22"/>
        </w:rPr>
        <w:t>THURSDAY,</w:t>
      </w:r>
      <w:r w:rsidR="002B358E" w:rsidRPr="00C90C95">
        <w:rPr>
          <w:b/>
          <w:sz w:val="22"/>
          <w:szCs w:val="22"/>
        </w:rPr>
        <w:t xml:space="preserve"> </w:t>
      </w:r>
      <w:r w:rsidR="0027282F">
        <w:rPr>
          <w:b/>
          <w:sz w:val="22"/>
          <w:szCs w:val="22"/>
        </w:rPr>
        <w:t>JULY 7</w:t>
      </w:r>
      <w:r w:rsidR="002B358E" w:rsidRPr="00C90C95">
        <w:rPr>
          <w:b/>
          <w:sz w:val="22"/>
          <w:szCs w:val="22"/>
        </w:rPr>
        <w:t>, 2022</w:t>
      </w:r>
      <w:r w:rsidRPr="00C90C95">
        <w:rPr>
          <w:b/>
          <w:sz w:val="22"/>
          <w:szCs w:val="22"/>
        </w:rPr>
        <w:t xml:space="preserve">, 10:00 A.M. </w:t>
      </w:r>
    </w:p>
    <w:p w:rsidR="0092280F" w:rsidRPr="00C90C95" w:rsidRDefault="0092280F" w:rsidP="0092280F">
      <w:pPr>
        <w:jc w:val="center"/>
        <w:rPr>
          <w:b/>
          <w:sz w:val="22"/>
          <w:szCs w:val="22"/>
        </w:rPr>
      </w:pPr>
    </w:p>
    <w:p w:rsidR="0092280F" w:rsidRPr="00C90C95" w:rsidRDefault="0092280F" w:rsidP="0092280F">
      <w:pPr>
        <w:rPr>
          <w:i/>
          <w:sz w:val="22"/>
          <w:szCs w:val="22"/>
        </w:rPr>
      </w:pPr>
      <w:r w:rsidRPr="00C90C95">
        <w:rPr>
          <w:i/>
          <w:sz w:val="22"/>
          <w:szCs w:val="22"/>
        </w:rPr>
        <w:t>*Public meetings are being held both in-person and by conference call.  To participate in the meeting please dial 1-408-419-1715 or 1-408-915-6290 and enter meeting number 2468097683#</w:t>
      </w:r>
    </w:p>
    <w:p w:rsidR="0092280F" w:rsidRPr="00C90C95" w:rsidRDefault="0092280F" w:rsidP="0092280F">
      <w:pPr>
        <w:jc w:val="center"/>
        <w:rPr>
          <w:b/>
          <w:sz w:val="22"/>
          <w:szCs w:val="22"/>
        </w:rPr>
      </w:pPr>
    </w:p>
    <w:p w:rsidR="0092280F" w:rsidRPr="00C90C95" w:rsidRDefault="0092280F" w:rsidP="0092280F">
      <w:pPr>
        <w:numPr>
          <w:ilvl w:val="0"/>
          <w:numId w:val="1"/>
        </w:numPr>
        <w:rPr>
          <w:b/>
          <w:bCs/>
          <w:sz w:val="22"/>
          <w:szCs w:val="22"/>
        </w:rPr>
      </w:pPr>
      <w:r w:rsidRPr="00C90C95">
        <w:rPr>
          <w:b/>
          <w:bCs/>
          <w:sz w:val="22"/>
          <w:szCs w:val="22"/>
        </w:rPr>
        <w:t>CALL TO ORDER</w:t>
      </w:r>
    </w:p>
    <w:p w:rsidR="0092280F" w:rsidRPr="00C90C95" w:rsidRDefault="0092280F" w:rsidP="0092280F">
      <w:pPr>
        <w:rPr>
          <w:b/>
          <w:bCs/>
          <w:sz w:val="22"/>
          <w:szCs w:val="22"/>
        </w:rPr>
      </w:pPr>
    </w:p>
    <w:p w:rsidR="0092280F" w:rsidRPr="00C90C95" w:rsidRDefault="0092280F" w:rsidP="0092280F">
      <w:pPr>
        <w:numPr>
          <w:ilvl w:val="0"/>
          <w:numId w:val="1"/>
        </w:numPr>
        <w:rPr>
          <w:b/>
          <w:bCs/>
          <w:sz w:val="22"/>
          <w:szCs w:val="22"/>
        </w:rPr>
      </w:pPr>
      <w:r w:rsidRPr="00C90C95">
        <w:rPr>
          <w:b/>
          <w:bCs/>
          <w:sz w:val="22"/>
          <w:szCs w:val="22"/>
        </w:rPr>
        <w:t>MOMENT OF SILENT REFLECTION</w:t>
      </w:r>
    </w:p>
    <w:p w:rsidR="0092280F" w:rsidRPr="00C90C95" w:rsidRDefault="0092280F" w:rsidP="0092280F">
      <w:pPr>
        <w:pStyle w:val="ListParagraph"/>
        <w:rPr>
          <w:b/>
          <w:bCs/>
          <w:sz w:val="22"/>
          <w:szCs w:val="22"/>
        </w:rPr>
      </w:pPr>
    </w:p>
    <w:p w:rsidR="0092280F" w:rsidRPr="00C90C95" w:rsidRDefault="0092280F" w:rsidP="0092280F">
      <w:pPr>
        <w:numPr>
          <w:ilvl w:val="0"/>
          <w:numId w:val="1"/>
        </w:numPr>
        <w:rPr>
          <w:b/>
          <w:bCs/>
          <w:sz w:val="22"/>
          <w:szCs w:val="22"/>
        </w:rPr>
      </w:pPr>
      <w:r w:rsidRPr="00C90C95">
        <w:rPr>
          <w:b/>
          <w:bCs/>
          <w:sz w:val="22"/>
          <w:szCs w:val="22"/>
        </w:rPr>
        <w:t>PLEDGE OF ALLEGIANCE TO THE FLAG</w:t>
      </w:r>
    </w:p>
    <w:p w:rsidR="0092280F" w:rsidRPr="00C90C95" w:rsidRDefault="0092280F" w:rsidP="0092280F">
      <w:pPr>
        <w:pStyle w:val="ListParagraph"/>
        <w:rPr>
          <w:b/>
          <w:bCs/>
          <w:sz w:val="22"/>
          <w:szCs w:val="22"/>
        </w:rPr>
      </w:pPr>
    </w:p>
    <w:p w:rsidR="0092280F" w:rsidRPr="00C90C95" w:rsidRDefault="0092280F" w:rsidP="0092280F">
      <w:pPr>
        <w:numPr>
          <w:ilvl w:val="0"/>
          <w:numId w:val="1"/>
        </w:numPr>
        <w:rPr>
          <w:b/>
          <w:bCs/>
          <w:sz w:val="22"/>
          <w:szCs w:val="22"/>
        </w:rPr>
      </w:pPr>
      <w:r w:rsidRPr="00C90C95">
        <w:rPr>
          <w:b/>
          <w:bCs/>
          <w:sz w:val="22"/>
          <w:szCs w:val="22"/>
        </w:rPr>
        <w:t>ROLL CALL</w:t>
      </w:r>
    </w:p>
    <w:p w:rsidR="0092280F" w:rsidRPr="00C90C95" w:rsidRDefault="0092280F" w:rsidP="0092280F">
      <w:pPr>
        <w:pStyle w:val="ListParagraph"/>
        <w:rPr>
          <w:b/>
          <w:bCs/>
          <w:sz w:val="22"/>
          <w:szCs w:val="22"/>
        </w:rPr>
      </w:pPr>
    </w:p>
    <w:p w:rsidR="0092280F" w:rsidRPr="00C90C95" w:rsidRDefault="0092280F" w:rsidP="0092280F">
      <w:pPr>
        <w:numPr>
          <w:ilvl w:val="0"/>
          <w:numId w:val="1"/>
        </w:numPr>
        <w:rPr>
          <w:b/>
          <w:bCs/>
          <w:sz w:val="22"/>
          <w:szCs w:val="22"/>
        </w:rPr>
      </w:pPr>
      <w:r w:rsidRPr="00C90C95">
        <w:rPr>
          <w:b/>
          <w:bCs/>
          <w:sz w:val="22"/>
          <w:szCs w:val="22"/>
        </w:rPr>
        <w:t>PUBLIC COMMENT</w:t>
      </w:r>
    </w:p>
    <w:p w:rsidR="000800FE" w:rsidRPr="00C90C95" w:rsidRDefault="000800FE" w:rsidP="000800FE">
      <w:pPr>
        <w:pStyle w:val="ListParagraph"/>
        <w:rPr>
          <w:b/>
          <w:bCs/>
          <w:sz w:val="22"/>
          <w:szCs w:val="22"/>
        </w:rPr>
      </w:pPr>
    </w:p>
    <w:p w:rsidR="000800FE" w:rsidRPr="00C90C95" w:rsidRDefault="000800FE" w:rsidP="000800FE">
      <w:pPr>
        <w:numPr>
          <w:ilvl w:val="0"/>
          <w:numId w:val="1"/>
        </w:numPr>
        <w:rPr>
          <w:b/>
          <w:bCs/>
          <w:sz w:val="22"/>
          <w:szCs w:val="22"/>
        </w:rPr>
      </w:pPr>
      <w:r w:rsidRPr="00C90C95">
        <w:rPr>
          <w:b/>
          <w:bCs/>
          <w:sz w:val="22"/>
          <w:szCs w:val="22"/>
        </w:rPr>
        <w:t>CCAP 2022 PRIORITIES TOOLKIT</w:t>
      </w:r>
      <w:r w:rsidRPr="00C90C95">
        <w:t xml:space="preserve"> </w:t>
      </w:r>
    </w:p>
    <w:p w:rsidR="000800FE" w:rsidRDefault="00BB634E" w:rsidP="000800FE">
      <w:pPr>
        <w:ind w:left="360" w:firstLine="360"/>
        <w:rPr>
          <w:sz w:val="22"/>
        </w:rPr>
      </w:pPr>
      <w:r w:rsidRPr="002B612D">
        <w:rPr>
          <w:sz w:val="22"/>
        </w:rPr>
        <w:t>Funding and Resources for Elections – Commissioner Amy Webster</w:t>
      </w:r>
    </w:p>
    <w:p w:rsidR="0093063F" w:rsidRDefault="0093063F" w:rsidP="000800FE">
      <w:pPr>
        <w:ind w:left="360" w:firstLine="360"/>
        <w:rPr>
          <w:sz w:val="22"/>
        </w:rPr>
      </w:pPr>
    </w:p>
    <w:p w:rsidR="0092280F" w:rsidRPr="00C90C95" w:rsidRDefault="0092280F" w:rsidP="0092280F">
      <w:pPr>
        <w:pStyle w:val="ListParagraph"/>
        <w:numPr>
          <w:ilvl w:val="0"/>
          <w:numId w:val="1"/>
        </w:numPr>
        <w:rPr>
          <w:b/>
          <w:bCs/>
          <w:sz w:val="22"/>
          <w:szCs w:val="22"/>
        </w:rPr>
      </w:pPr>
      <w:r w:rsidRPr="00C90C95">
        <w:rPr>
          <w:b/>
          <w:bCs/>
          <w:sz w:val="22"/>
          <w:szCs w:val="22"/>
        </w:rPr>
        <w:t>UNFINISHED BUSINESS:</w:t>
      </w:r>
    </w:p>
    <w:p w:rsidR="0092280F" w:rsidRPr="00C90C95" w:rsidRDefault="0092280F" w:rsidP="0092280F">
      <w:pPr>
        <w:ind w:left="720"/>
        <w:rPr>
          <w:b/>
          <w:bCs/>
          <w:sz w:val="22"/>
          <w:szCs w:val="22"/>
          <w:u w:val="single"/>
        </w:rPr>
      </w:pPr>
      <w:r w:rsidRPr="00C90C95">
        <w:rPr>
          <w:b/>
          <w:bCs/>
          <w:sz w:val="22"/>
          <w:szCs w:val="22"/>
          <w:u w:val="single"/>
        </w:rPr>
        <w:t>Adoption of Resolutions:</w:t>
      </w:r>
    </w:p>
    <w:p w:rsidR="00CB258C" w:rsidRPr="00CB258C" w:rsidRDefault="002B358E" w:rsidP="00CB258C">
      <w:pPr>
        <w:ind w:left="720"/>
        <w:rPr>
          <w:bCs/>
          <w:sz w:val="22"/>
          <w:szCs w:val="22"/>
        </w:rPr>
      </w:pPr>
      <w:r w:rsidRPr="00CB258C">
        <w:rPr>
          <w:b/>
          <w:bCs/>
          <w:sz w:val="22"/>
          <w:szCs w:val="22"/>
          <w:u w:val="single"/>
        </w:rPr>
        <w:t xml:space="preserve">Resolution </w:t>
      </w:r>
      <w:r w:rsidR="0027282F" w:rsidRPr="00CB258C">
        <w:rPr>
          <w:b/>
          <w:bCs/>
          <w:sz w:val="22"/>
          <w:szCs w:val="22"/>
          <w:u w:val="single"/>
        </w:rPr>
        <w:t>244</w:t>
      </w:r>
      <w:r w:rsidRPr="00CB258C">
        <w:rPr>
          <w:b/>
          <w:bCs/>
          <w:sz w:val="22"/>
          <w:szCs w:val="22"/>
          <w:u w:val="single"/>
        </w:rPr>
        <w:t>-2022</w:t>
      </w:r>
      <w:r w:rsidR="00772502" w:rsidRPr="00CB258C">
        <w:rPr>
          <w:b/>
          <w:bCs/>
          <w:sz w:val="22"/>
          <w:szCs w:val="22"/>
        </w:rPr>
        <w:t xml:space="preserve"> – </w:t>
      </w:r>
      <w:r w:rsidR="00CB258C" w:rsidRPr="00CB258C">
        <w:rPr>
          <w:bCs/>
          <w:sz w:val="22"/>
          <w:szCs w:val="22"/>
        </w:rPr>
        <w:t>A resolution approving the FY 22/23 Provision of Single County Authority (SCA) Functions Agreement between the County of Blair and Blair County Drug and Alcohol for the period of July 1, 2022 through June 30, 2023.</w:t>
      </w:r>
    </w:p>
    <w:p w:rsidR="00772502" w:rsidRDefault="00772502" w:rsidP="00772502">
      <w:pPr>
        <w:ind w:left="720"/>
        <w:rPr>
          <w:bCs/>
          <w:sz w:val="22"/>
          <w:szCs w:val="22"/>
        </w:rPr>
      </w:pPr>
    </w:p>
    <w:p w:rsidR="00CB258C" w:rsidRPr="00CB258C" w:rsidRDefault="00772502" w:rsidP="00CB258C">
      <w:pPr>
        <w:ind w:left="720"/>
        <w:rPr>
          <w:bCs/>
          <w:sz w:val="22"/>
          <w:szCs w:val="22"/>
        </w:rPr>
      </w:pPr>
      <w:r w:rsidRPr="00CB258C">
        <w:rPr>
          <w:b/>
          <w:bCs/>
          <w:sz w:val="22"/>
          <w:szCs w:val="22"/>
          <w:u w:val="single"/>
        </w:rPr>
        <w:t xml:space="preserve">Resolution </w:t>
      </w:r>
      <w:r w:rsidR="0027282F" w:rsidRPr="00CB258C">
        <w:rPr>
          <w:b/>
          <w:bCs/>
          <w:sz w:val="22"/>
          <w:szCs w:val="22"/>
          <w:u w:val="single"/>
        </w:rPr>
        <w:t>245</w:t>
      </w:r>
      <w:r w:rsidR="00CB258C">
        <w:rPr>
          <w:b/>
          <w:bCs/>
          <w:sz w:val="22"/>
          <w:szCs w:val="22"/>
          <w:u w:val="single"/>
        </w:rPr>
        <w:t>-2022</w:t>
      </w:r>
      <w:r w:rsidR="00CB258C" w:rsidRPr="00CB258C">
        <w:rPr>
          <w:bCs/>
          <w:sz w:val="22"/>
          <w:szCs w:val="22"/>
        </w:rPr>
        <w:t xml:space="preserve"> -- A resolution approving the acceptance of a Conditional Award of Funds from the Pennsylvania Housing Finance Authority (PHFA) through the Pennsylvania Housing Affordability and Rehabilitation Enhancement (PHARE) Fund authorized under Act 10 of 2010 and the Realty Transfer Tax (PHARE/RT), in the amount of $100,000.00, to support the Blair County Water and Sewer Program.</w:t>
      </w:r>
    </w:p>
    <w:p w:rsidR="00EB03B6" w:rsidRPr="00C90C95" w:rsidRDefault="00EB03B6" w:rsidP="00772502">
      <w:pPr>
        <w:ind w:left="720"/>
        <w:rPr>
          <w:bCs/>
          <w:sz w:val="22"/>
          <w:szCs w:val="22"/>
        </w:rPr>
      </w:pPr>
    </w:p>
    <w:p w:rsidR="00CB258C" w:rsidRPr="00CB258C" w:rsidRDefault="000C4FFB" w:rsidP="00CB258C">
      <w:pPr>
        <w:ind w:left="720"/>
        <w:rPr>
          <w:bCs/>
          <w:sz w:val="22"/>
          <w:szCs w:val="22"/>
        </w:rPr>
      </w:pPr>
      <w:r w:rsidRPr="00CB258C">
        <w:rPr>
          <w:b/>
          <w:bCs/>
          <w:sz w:val="22"/>
          <w:szCs w:val="22"/>
          <w:u w:val="single"/>
        </w:rPr>
        <w:t xml:space="preserve">Resolution </w:t>
      </w:r>
      <w:r w:rsidR="0027282F" w:rsidRPr="00CB258C">
        <w:rPr>
          <w:b/>
          <w:bCs/>
          <w:sz w:val="22"/>
          <w:szCs w:val="22"/>
          <w:u w:val="single"/>
        </w:rPr>
        <w:t>246</w:t>
      </w:r>
      <w:r w:rsidRPr="00CB258C">
        <w:rPr>
          <w:b/>
          <w:bCs/>
          <w:sz w:val="22"/>
          <w:szCs w:val="22"/>
          <w:u w:val="single"/>
        </w:rPr>
        <w:t>-2022</w:t>
      </w:r>
      <w:r w:rsidR="00CB258C" w:rsidRPr="00CB258C">
        <w:rPr>
          <w:bCs/>
          <w:sz w:val="22"/>
          <w:szCs w:val="22"/>
        </w:rPr>
        <w:t xml:space="preserve"> – A resolution approving the participation in the Administrative Office of the Pennsylvania Courts (AOPC) Office of Children and Families in the Courts/ Dependency Court Improvement Program, COVID-19 Reimbursement Project, with full cost being covered by the AOPC.</w:t>
      </w:r>
    </w:p>
    <w:p w:rsidR="00EB03B6" w:rsidRPr="00C90C95" w:rsidRDefault="00EB03B6" w:rsidP="0027282F">
      <w:pPr>
        <w:ind w:left="720"/>
        <w:rPr>
          <w:bCs/>
          <w:sz w:val="22"/>
          <w:szCs w:val="22"/>
        </w:rPr>
      </w:pPr>
    </w:p>
    <w:p w:rsidR="002B612D" w:rsidRPr="002B612D" w:rsidRDefault="000C4FFB" w:rsidP="002B612D">
      <w:pPr>
        <w:ind w:left="720"/>
        <w:rPr>
          <w:bCs/>
          <w:sz w:val="22"/>
          <w:szCs w:val="22"/>
        </w:rPr>
      </w:pPr>
      <w:r w:rsidRPr="002B612D">
        <w:rPr>
          <w:b/>
          <w:bCs/>
          <w:sz w:val="22"/>
          <w:szCs w:val="22"/>
          <w:u w:val="single"/>
        </w:rPr>
        <w:t xml:space="preserve">Resolution </w:t>
      </w:r>
      <w:r w:rsidR="0027282F" w:rsidRPr="002B612D">
        <w:rPr>
          <w:b/>
          <w:bCs/>
          <w:sz w:val="22"/>
          <w:szCs w:val="22"/>
          <w:u w:val="single"/>
        </w:rPr>
        <w:t>247</w:t>
      </w:r>
      <w:r w:rsidR="002B612D" w:rsidRPr="002B612D">
        <w:rPr>
          <w:b/>
          <w:bCs/>
          <w:sz w:val="22"/>
          <w:szCs w:val="22"/>
          <w:u w:val="single"/>
        </w:rPr>
        <w:t>-2022</w:t>
      </w:r>
      <w:r w:rsidR="002B612D" w:rsidRPr="002B612D">
        <w:rPr>
          <w:bCs/>
          <w:sz w:val="22"/>
          <w:szCs w:val="22"/>
        </w:rPr>
        <w:t xml:space="preserve"> – A resolution approving the acceptance of an allocation of funding under the Promoting Safe and Stable Families Caseworker Visitation Program under Title IV-B of the Social Security Act, (42 U.S.C §§ 629-629i), in the total amount of $4,505.00, for the period of 10/01/21 through 09/30/22.</w:t>
      </w:r>
    </w:p>
    <w:p w:rsidR="0027282F" w:rsidRDefault="0027282F" w:rsidP="0027282F">
      <w:pPr>
        <w:ind w:left="720"/>
        <w:rPr>
          <w:bCs/>
          <w:sz w:val="22"/>
          <w:szCs w:val="22"/>
        </w:rPr>
      </w:pPr>
    </w:p>
    <w:p w:rsidR="00CB258C" w:rsidRPr="002B612D" w:rsidRDefault="001077C8" w:rsidP="002B612D">
      <w:pPr>
        <w:ind w:left="720"/>
        <w:rPr>
          <w:bCs/>
          <w:sz w:val="22"/>
          <w:szCs w:val="22"/>
        </w:rPr>
      </w:pPr>
      <w:r w:rsidRPr="002B612D">
        <w:rPr>
          <w:b/>
          <w:bCs/>
          <w:sz w:val="22"/>
          <w:szCs w:val="22"/>
          <w:u w:val="single"/>
        </w:rPr>
        <w:t>R</w:t>
      </w:r>
      <w:r w:rsidR="0027282F" w:rsidRPr="002B612D">
        <w:rPr>
          <w:b/>
          <w:bCs/>
          <w:sz w:val="22"/>
          <w:szCs w:val="22"/>
          <w:u w:val="single"/>
        </w:rPr>
        <w:t>esolution 248</w:t>
      </w:r>
      <w:r w:rsidR="002B612D" w:rsidRPr="002B612D">
        <w:rPr>
          <w:b/>
          <w:bCs/>
          <w:sz w:val="22"/>
          <w:szCs w:val="22"/>
          <w:u w:val="single"/>
        </w:rPr>
        <w:t xml:space="preserve">-2022 </w:t>
      </w:r>
      <w:r w:rsidR="002B612D" w:rsidRPr="002B612D">
        <w:rPr>
          <w:bCs/>
          <w:sz w:val="22"/>
          <w:szCs w:val="22"/>
        </w:rPr>
        <w:t>–</w:t>
      </w:r>
      <w:r w:rsidRPr="002B612D">
        <w:rPr>
          <w:bCs/>
          <w:sz w:val="22"/>
          <w:szCs w:val="22"/>
        </w:rPr>
        <w:t xml:space="preserve"> </w:t>
      </w:r>
      <w:r w:rsidR="002B612D" w:rsidRPr="002B612D">
        <w:rPr>
          <w:bCs/>
          <w:sz w:val="22"/>
          <w:szCs w:val="22"/>
        </w:rPr>
        <w:t>A resolution approving</w:t>
      </w:r>
      <w:r w:rsidR="00CB258C" w:rsidRPr="002B612D">
        <w:rPr>
          <w:bCs/>
          <w:sz w:val="22"/>
          <w:szCs w:val="22"/>
        </w:rPr>
        <w:t xml:space="preserve"> the submission of a Letter of Support of an application to the PA Department of Community and Economic Development (DCED) and/or PennDOT by the Borough of Hollidaysburg for Multimodal Transportation Fund Program (MTFP) for grant funding for the Canal Basin project.</w:t>
      </w:r>
    </w:p>
    <w:p w:rsidR="00EB03B6" w:rsidRPr="00C90C95" w:rsidRDefault="00CB258C" w:rsidP="002B612D">
      <w:pPr>
        <w:rPr>
          <w:bCs/>
          <w:sz w:val="22"/>
          <w:szCs w:val="22"/>
        </w:rPr>
      </w:pPr>
      <w:r w:rsidRPr="007B2236">
        <w:rPr>
          <w:bCs/>
        </w:rPr>
        <w:tab/>
      </w:r>
      <w:r w:rsidRPr="007B2236">
        <w:rPr>
          <w:bCs/>
        </w:rPr>
        <w:tab/>
      </w:r>
    </w:p>
    <w:p w:rsidR="00772502" w:rsidRPr="00C90C95" w:rsidRDefault="00772502" w:rsidP="00580120">
      <w:pPr>
        <w:pStyle w:val="ListParagraph"/>
        <w:numPr>
          <w:ilvl w:val="0"/>
          <w:numId w:val="1"/>
        </w:numPr>
        <w:rPr>
          <w:b/>
          <w:bCs/>
          <w:sz w:val="22"/>
          <w:szCs w:val="22"/>
        </w:rPr>
      </w:pPr>
      <w:r w:rsidRPr="00C90C95">
        <w:rPr>
          <w:b/>
          <w:bCs/>
          <w:sz w:val="22"/>
          <w:szCs w:val="22"/>
        </w:rPr>
        <w:t>OLD BUSINESS</w:t>
      </w:r>
    </w:p>
    <w:p w:rsidR="00772502" w:rsidRPr="00C90C95" w:rsidRDefault="00772502" w:rsidP="00580120">
      <w:pPr>
        <w:pStyle w:val="ListParagraph"/>
        <w:numPr>
          <w:ilvl w:val="0"/>
          <w:numId w:val="14"/>
        </w:numPr>
        <w:rPr>
          <w:bCs/>
          <w:sz w:val="22"/>
          <w:szCs w:val="22"/>
        </w:rPr>
      </w:pPr>
      <w:r w:rsidRPr="00C90C95">
        <w:rPr>
          <w:b/>
          <w:bCs/>
          <w:sz w:val="22"/>
          <w:szCs w:val="22"/>
          <w:u w:val="single"/>
        </w:rPr>
        <w:t>Natural Gas Pricing:</w:t>
      </w:r>
      <w:r w:rsidRPr="00C90C95">
        <w:rPr>
          <w:bCs/>
          <w:sz w:val="22"/>
          <w:szCs w:val="22"/>
        </w:rPr>
        <w:t xml:space="preserve">  </w:t>
      </w:r>
    </w:p>
    <w:p w:rsidR="00772502" w:rsidRPr="00C90C95" w:rsidRDefault="00772502" w:rsidP="00580120">
      <w:pPr>
        <w:ind w:left="1080"/>
        <w:rPr>
          <w:sz w:val="22"/>
          <w:szCs w:val="22"/>
        </w:rPr>
      </w:pPr>
      <w:r w:rsidRPr="00C90C95">
        <w:rPr>
          <w:sz w:val="22"/>
          <w:szCs w:val="22"/>
        </w:rPr>
        <w:t>Continued discussion concerning contract options, pricing and recommendations for the county’s Natural Gas Suppliers.  </w:t>
      </w:r>
    </w:p>
    <w:p w:rsidR="00EB03B6" w:rsidRPr="00C90C95" w:rsidRDefault="00772502" w:rsidP="00772502">
      <w:pPr>
        <w:ind w:left="1080"/>
        <w:rPr>
          <w:sz w:val="22"/>
          <w:szCs w:val="22"/>
        </w:rPr>
      </w:pPr>
      <w:r w:rsidRPr="00C90C95">
        <w:rPr>
          <w:sz w:val="22"/>
          <w:szCs w:val="22"/>
        </w:rPr>
        <w:t> </w:t>
      </w:r>
    </w:p>
    <w:p w:rsidR="002B358E" w:rsidRPr="00C90C95" w:rsidRDefault="00772502" w:rsidP="00EB03B6">
      <w:pPr>
        <w:ind w:left="1080"/>
        <w:jc w:val="center"/>
        <w:rPr>
          <w:b/>
          <w:bCs/>
          <w:sz w:val="22"/>
          <w:szCs w:val="22"/>
        </w:rPr>
      </w:pPr>
      <w:r w:rsidRPr="00C90C95">
        <w:rPr>
          <w:b/>
          <w:sz w:val="22"/>
          <w:szCs w:val="22"/>
        </w:rPr>
        <w:t>Current 2.813 blended rate</w:t>
      </w:r>
    </w:p>
    <w:p w:rsidR="00580120" w:rsidRPr="00C90C95" w:rsidRDefault="00580120" w:rsidP="00580120">
      <w:pPr>
        <w:rPr>
          <w:b/>
          <w:bCs/>
          <w:sz w:val="22"/>
          <w:szCs w:val="22"/>
        </w:rPr>
      </w:pPr>
    </w:p>
    <w:tbl>
      <w:tblPr>
        <w:tblpPr w:leftFromText="171" w:rightFromText="171" w:vertAnchor="text" w:horzAnchor="margin" w:tblpXSpec="right" w:tblpY="63"/>
        <w:tblW w:w="8710" w:type="dxa"/>
        <w:tblCellMar>
          <w:left w:w="0" w:type="dxa"/>
          <w:right w:w="0" w:type="dxa"/>
        </w:tblCellMar>
        <w:tblLook w:val="04A0" w:firstRow="1" w:lastRow="0" w:firstColumn="1" w:lastColumn="0" w:noHBand="0" w:noVBand="1"/>
      </w:tblPr>
      <w:tblGrid>
        <w:gridCol w:w="1620"/>
        <w:gridCol w:w="2070"/>
        <w:gridCol w:w="1830"/>
        <w:gridCol w:w="1595"/>
        <w:gridCol w:w="1595"/>
      </w:tblGrid>
      <w:tr w:rsidR="00EB03B6" w:rsidRPr="00C90C95" w:rsidTr="00EB03B6">
        <w:trPr>
          <w:trHeight w:val="224"/>
        </w:trPr>
        <w:tc>
          <w:tcPr>
            <w:tcW w:w="1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EB03B6" w:rsidRPr="00C90C95" w:rsidRDefault="00EB03B6" w:rsidP="00EB03B6">
            <w:pPr>
              <w:spacing w:line="252" w:lineRule="auto"/>
              <w:jc w:val="center"/>
              <w:rPr>
                <w:b/>
                <w:bCs/>
                <w:sz w:val="16"/>
                <w:szCs w:val="16"/>
              </w:rPr>
            </w:pPr>
            <w:r w:rsidRPr="00C90C95">
              <w:rPr>
                <w:b/>
                <w:bCs/>
                <w:sz w:val="16"/>
                <w:szCs w:val="16"/>
              </w:rPr>
              <w:t>Contract Term</w:t>
            </w:r>
          </w:p>
        </w:tc>
        <w:tc>
          <w:tcPr>
            <w:tcW w:w="20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EB03B6" w:rsidRPr="00C90C95" w:rsidRDefault="00EB03B6" w:rsidP="00EB03B6">
            <w:pPr>
              <w:spacing w:line="252" w:lineRule="auto"/>
              <w:jc w:val="center"/>
              <w:rPr>
                <w:b/>
                <w:sz w:val="16"/>
                <w:szCs w:val="16"/>
              </w:rPr>
            </w:pPr>
            <w:r w:rsidRPr="00C90C95">
              <w:rPr>
                <w:b/>
                <w:sz w:val="16"/>
                <w:szCs w:val="16"/>
              </w:rPr>
              <w:t>05/25/22</w:t>
            </w:r>
          </w:p>
        </w:tc>
        <w:tc>
          <w:tcPr>
            <w:tcW w:w="18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EB03B6" w:rsidRPr="00C90C95" w:rsidRDefault="00EB03B6" w:rsidP="00EB03B6">
            <w:pPr>
              <w:spacing w:line="252" w:lineRule="auto"/>
              <w:jc w:val="center"/>
              <w:rPr>
                <w:b/>
                <w:sz w:val="16"/>
                <w:szCs w:val="16"/>
              </w:rPr>
            </w:pPr>
            <w:r w:rsidRPr="00C90C95">
              <w:rPr>
                <w:b/>
                <w:sz w:val="16"/>
                <w:szCs w:val="16"/>
              </w:rPr>
              <w:t>06/21/22</w:t>
            </w:r>
          </w:p>
        </w:tc>
        <w:tc>
          <w:tcPr>
            <w:tcW w:w="1595" w:type="dxa"/>
            <w:tcBorders>
              <w:top w:val="single" w:sz="4" w:space="0" w:color="auto"/>
              <w:left w:val="single" w:sz="4" w:space="0" w:color="auto"/>
              <w:bottom w:val="single" w:sz="4" w:space="0" w:color="auto"/>
              <w:right w:val="single" w:sz="4" w:space="0" w:color="auto"/>
            </w:tcBorders>
          </w:tcPr>
          <w:p w:rsidR="00EB03B6" w:rsidRPr="00C90C95" w:rsidRDefault="00EB03B6" w:rsidP="00EB03B6">
            <w:pPr>
              <w:spacing w:line="252" w:lineRule="auto"/>
              <w:jc w:val="center"/>
              <w:rPr>
                <w:b/>
                <w:sz w:val="16"/>
                <w:szCs w:val="16"/>
              </w:rPr>
            </w:pPr>
            <w:r w:rsidRPr="00C90C95">
              <w:rPr>
                <w:b/>
                <w:sz w:val="16"/>
                <w:szCs w:val="16"/>
              </w:rPr>
              <w:t>06/28/22</w:t>
            </w:r>
          </w:p>
        </w:tc>
        <w:tc>
          <w:tcPr>
            <w:tcW w:w="1595" w:type="dxa"/>
            <w:tcBorders>
              <w:top w:val="single" w:sz="4" w:space="0" w:color="auto"/>
              <w:left w:val="single" w:sz="4" w:space="0" w:color="auto"/>
              <w:bottom w:val="single" w:sz="4" w:space="0" w:color="auto"/>
              <w:right w:val="single" w:sz="4" w:space="0" w:color="auto"/>
            </w:tcBorders>
          </w:tcPr>
          <w:p w:rsidR="00EB03B6" w:rsidRPr="00C90C95" w:rsidRDefault="00EB03B6" w:rsidP="00EB03B6">
            <w:pPr>
              <w:spacing w:line="252" w:lineRule="auto"/>
              <w:jc w:val="center"/>
              <w:rPr>
                <w:b/>
                <w:sz w:val="16"/>
                <w:szCs w:val="16"/>
              </w:rPr>
            </w:pPr>
            <w:r>
              <w:rPr>
                <w:b/>
                <w:sz w:val="16"/>
                <w:szCs w:val="16"/>
              </w:rPr>
              <w:t>07/05/22</w:t>
            </w:r>
          </w:p>
        </w:tc>
      </w:tr>
      <w:tr w:rsidR="00EB03B6" w:rsidRPr="00C90C95" w:rsidTr="00EB03B6">
        <w:trPr>
          <w:trHeight w:val="299"/>
        </w:trPr>
        <w:tc>
          <w:tcPr>
            <w:tcW w:w="1620" w:type="dxa"/>
            <w:tcBorders>
              <w:top w:val="single" w:sz="4" w:space="0" w:color="auto"/>
              <w:left w:val="single" w:sz="12" w:space="0" w:color="auto"/>
              <w:bottom w:val="single" w:sz="12" w:space="0" w:color="auto"/>
              <w:right w:val="single" w:sz="12" w:space="0" w:color="auto"/>
            </w:tcBorders>
            <w:noWrap/>
            <w:tcMar>
              <w:top w:w="0" w:type="dxa"/>
              <w:left w:w="108" w:type="dxa"/>
              <w:bottom w:w="0" w:type="dxa"/>
              <w:right w:w="108" w:type="dxa"/>
            </w:tcMar>
            <w:vAlign w:val="bottom"/>
          </w:tcPr>
          <w:p w:rsidR="00EB03B6" w:rsidRPr="00C90C95" w:rsidRDefault="00EB03B6" w:rsidP="00EB03B6">
            <w:pPr>
              <w:spacing w:line="252" w:lineRule="auto"/>
              <w:jc w:val="center"/>
              <w:rPr>
                <w:sz w:val="16"/>
                <w:szCs w:val="16"/>
              </w:rPr>
            </w:pPr>
            <w:r w:rsidRPr="00C90C95">
              <w:rPr>
                <w:sz w:val="16"/>
                <w:szCs w:val="16"/>
              </w:rPr>
              <w:t>12 months</w:t>
            </w:r>
          </w:p>
        </w:tc>
        <w:tc>
          <w:tcPr>
            <w:tcW w:w="2070" w:type="dxa"/>
            <w:tcBorders>
              <w:top w:val="single" w:sz="4" w:space="0" w:color="auto"/>
              <w:left w:val="nil"/>
              <w:bottom w:val="single" w:sz="12" w:space="0" w:color="auto"/>
              <w:right w:val="single" w:sz="12" w:space="0" w:color="auto"/>
            </w:tcBorders>
            <w:noWrap/>
            <w:tcMar>
              <w:top w:w="0" w:type="dxa"/>
              <w:left w:w="108" w:type="dxa"/>
              <w:bottom w:w="0" w:type="dxa"/>
              <w:right w:w="108" w:type="dxa"/>
            </w:tcMar>
            <w:vAlign w:val="bottom"/>
            <w:hideMark/>
          </w:tcPr>
          <w:p w:rsidR="00EB03B6" w:rsidRPr="00C90C95" w:rsidRDefault="00EB03B6" w:rsidP="00EB03B6">
            <w:pPr>
              <w:spacing w:line="252" w:lineRule="auto"/>
              <w:jc w:val="center"/>
              <w:rPr>
                <w:sz w:val="16"/>
                <w:szCs w:val="16"/>
              </w:rPr>
            </w:pPr>
            <w:r w:rsidRPr="00C90C95">
              <w:rPr>
                <w:sz w:val="16"/>
                <w:szCs w:val="16"/>
              </w:rPr>
              <w:t>7.320</w:t>
            </w:r>
          </w:p>
        </w:tc>
        <w:tc>
          <w:tcPr>
            <w:tcW w:w="1830" w:type="dxa"/>
            <w:tcBorders>
              <w:top w:val="single" w:sz="4" w:space="0" w:color="auto"/>
              <w:left w:val="nil"/>
              <w:bottom w:val="single" w:sz="12" w:space="0" w:color="auto"/>
              <w:right w:val="single" w:sz="12" w:space="0" w:color="auto"/>
            </w:tcBorders>
            <w:noWrap/>
            <w:tcMar>
              <w:top w:w="0" w:type="dxa"/>
              <w:left w:w="108" w:type="dxa"/>
              <w:bottom w:w="0" w:type="dxa"/>
              <w:right w:w="108" w:type="dxa"/>
            </w:tcMar>
            <w:vAlign w:val="bottom"/>
          </w:tcPr>
          <w:p w:rsidR="00EB03B6" w:rsidRPr="00C90C95" w:rsidRDefault="00EB03B6" w:rsidP="00EB03B6">
            <w:pPr>
              <w:spacing w:line="252" w:lineRule="auto"/>
              <w:jc w:val="center"/>
              <w:rPr>
                <w:sz w:val="16"/>
                <w:szCs w:val="16"/>
              </w:rPr>
            </w:pPr>
            <w:r w:rsidRPr="00C90C95">
              <w:rPr>
                <w:sz w:val="16"/>
                <w:szCs w:val="16"/>
              </w:rPr>
              <w:t>5.85</w:t>
            </w:r>
          </w:p>
        </w:tc>
        <w:tc>
          <w:tcPr>
            <w:tcW w:w="1595" w:type="dxa"/>
            <w:tcBorders>
              <w:top w:val="single" w:sz="4" w:space="0" w:color="auto"/>
              <w:left w:val="nil"/>
              <w:bottom w:val="single" w:sz="12" w:space="0" w:color="auto"/>
              <w:right w:val="single" w:sz="12" w:space="0" w:color="auto"/>
            </w:tcBorders>
            <w:vAlign w:val="bottom"/>
          </w:tcPr>
          <w:p w:rsidR="00EB03B6" w:rsidRPr="00C90C95" w:rsidRDefault="00EB03B6" w:rsidP="00EB03B6">
            <w:pPr>
              <w:spacing w:line="252" w:lineRule="auto"/>
              <w:jc w:val="center"/>
              <w:rPr>
                <w:sz w:val="16"/>
                <w:szCs w:val="16"/>
              </w:rPr>
            </w:pPr>
            <w:r>
              <w:rPr>
                <w:sz w:val="16"/>
                <w:szCs w:val="16"/>
              </w:rPr>
              <w:t>5.87</w:t>
            </w:r>
          </w:p>
        </w:tc>
        <w:tc>
          <w:tcPr>
            <w:tcW w:w="1595" w:type="dxa"/>
            <w:tcBorders>
              <w:top w:val="single" w:sz="4" w:space="0" w:color="auto"/>
              <w:left w:val="nil"/>
              <w:bottom w:val="single" w:sz="12" w:space="0" w:color="auto"/>
              <w:right w:val="single" w:sz="12" w:space="0" w:color="auto"/>
            </w:tcBorders>
            <w:vAlign w:val="bottom"/>
          </w:tcPr>
          <w:p w:rsidR="00EB03B6" w:rsidRPr="00C90C95" w:rsidRDefault="00EB03B6" w:rsidP="00EB03B6">
            <w:pPr>
              <w:spacing w:line="252" w:lineRule="auto"/>
              <w:jc w:val="center"/>
              <w:rPr>
                <w:sz w:val="16"/>
                <w:szCs w:val="16"/>
              </w:rPr>
            </w:pPr>
            <w:r>
              <w:rPr>
                <w:sz w:val="16"/>
                <w:szCs w:val="16"/>
              </w:rPr>
              <w:t>5.15</w:t>
            </w:r>
          </w:p>
        </w:tc>
      </w:tr>
      <w:tr w:rsidR="00EB03B6" w:rsidRPr="00C90C95" w:rsidTr="00EB03B6">
        <w:trPr>
          <w:trHeight w:val="240"/>
        </w:trPr>
        <w:tc>
          <w:tcPr>
            <w:tcW w:w="1620" w:type="dxa"/>
            <w:tcBorders>
              <w:top w:val="nil"/>
              <w:left w:val="single" w:sz="12" w:space="0" w:color="auto"/>
              <w:bottom w:val="single" w:sz="12" w:space="0" w:color="auto"/>
              <w:right w:val="single" w:sz="12" w:space="0" w:color="auto"/>
            </w:tcBorders>
            <w:noWrap/>
            <w:tcMar>
              <w:top w:w="0" w:type="dxa"/>
              <w:left w:w="108" w:type="dxa"/>
              <w:bottom w:w="0" w:type="dxa"/>
              <w:right w:w="108" w:type="dxa"/>
            </w:tcMar>
            <w:vAlign w:val="bottom"/>
          </w:tcPr>
          <w:p w:rsidR="00EB03B6" w:rsidRPr="00C90C95" w:rsidRDefault="00EB03B6" w:rsidP="00EB03B6">
            <w:pPr>
              <w:spacing w:line="252" w:lineRule="auto"/>
              <w:jc w:val="center"/>
              <w:rPr>
                <w:sz w:val="10"/>
                <w:szCs w:val="16"/>
              </w:rPr>
            </w:pPr>
          </w:p>
          <w:p w:rsidR="00EB03B6" w:rsidRPr="00C90C95" w:rsidRDefault="00EB03B6" w:rsidP="00EB03B6">
            <w:pPr>
              <w:spacing w:line="252" w:lineRule="auto"/>
              <w:jc w:val="center"/>
              <w:rPr>
                <w:sz w:val="16"/>
                <w:szCs w:val="16"/>
              </w:rPr>
            </w:pPr>
            <w:r w:rsidRPr="00C90C95">
              <w:rPr>
                <w:sz w:val="16"/>
                <w:szCs w:val="16"/>
              </w:rPr>
              <w:t>24 months</w:t>
            </w:r>
          </w:p>
        </w:tc>
        <w:tc>
          <w:tcPr>
            <w:tcW w:w="2070"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rsidR="00EB03B6" w:rsidRPr="00C90C95" w:rsidRDefault="00EB03B6" w:rsidP="00EB03B6">
            <w:pPr>
              <w:spacing w:line="252" w:lineRule="auto"/>
              <w:jc w:val="center"/>
              <w:rPr>
                <w:sz w:val="16"/>
                <w:szCs w:val="16"/>
              </w:rPr>
            </w:pPr>
            <w:r w:rsidRPr="00C90C95">
              <w:rPr>
                <w:sz w:val="16"/>
                <w:szCs w:val="16"/>
              </w:rPr>
              <w:t>6.050</w:t>
            </w:r>
          </w:p>
        </w:tc>
        <w:tc>
          <w:tcPr>
            <w:tcW w:w="1830" w:type="dxa"/>
            <w:tcBorders>
              <w:top w:val="nil"/>
              <w:left w:val="nil"/>
              <w:bottom w:val="single" w:sz="12" w:space="0" w:color="auto"/>
              <w:right w:val="single" w:sz="12" w:space="0" w:color="auto"/>
            </w:tcBorders>
            <w:noWrap/>
            <w:tcMar>
              <w:top w:w="0" w:type="dxa"/>
              <w:left w:w="108" w:type="dxa"/>
              <w:bottom w:w="0" w:type="dxa"/>
              <w:right w:w="108" w:type="dxa"/>
            </w:tcMar>
            <w:vAlign w:val="bottom"/>
          </w:tcPr>
          <w:p w:rsidR="00EB03B6" w:rsidRPr="00C90C95" w:rsidRDefault="00EB03B6" w:rsidP="00EB03B6">
            <w:pPr>
              <w:spacing w:line="252" w:lineRule="auto"/>
              <w:jc w:val="center"/>
              <w:rPr>
                <w:sz w:val="16"/>
                <w:szCs w:val="16"/>
              </w:rPr>
            </w:pPr>
            <w:r w:rsidRPr="00C90C95">
              <w:rPr>
                <w:sz w:val="16"/>
                <w:szCs w:val="16"/>
              </w:rPr>
              <w:t>5.37</w:t>
            </w:r>
          </w:p>
        </w:tc>
        <w:tc>
          <w:tcPr>
            <w:tcW w:w="1595" w:type="dxa"/>
            <w:tcBorders>
              <w:top w:val="nil"/>
              <w:left w:val="nil"/>
              <w:bottom w:val="single" w:sz="12" w:space="0" w:color="auto"/>
              <w:right w:val="single" w:sz="12" w:space="0" w:color="auto"/>
            </w:tcBorders>
            <w:vAlign w:val="bottom"/>
          </w:tcPr>
          <w:p w:rsidR="00EB03B6" w:rsidRPr="00C90C95" w:rsidRDefault="00EB03B6" w:rsidP="00EB03B6">
            <w:pPr>
              <w:spacing w:line="252" w:lineRule="auto"/>
              <w:jc w:val="center"/>
              <w:rPr>
                <w:sz w:val="16"/>
                <w:szCs w:val="16"/>
              </w:rPr>
            </w:pPr>
            <w:r>
              <w:rPr>
                <w:sz w:val="16"/>
                <w:szCs w:val="16"/>
              </w:rPr>
              <w:t>5.30</w:t>
            </w:r>
          </w:p>
        </w:tc>
        <w:tc>
          <w:tcPr>
            <w:tcW w:w="1595" w:type="dxa"/>
            <w:tcBorders>
              <w:top w:val="nil"/>
              <w:left w:val="nil"/>
              <w:bottom w:val="single" w:sz="12" w:space="0" w:color="auto"/>
              <w:right w:val="single" w:sz="12" w:space="0" w:color="auto"/>
            </w:tcBorders>
            <w:vAlign w:val="bottom"/>
          </w:tcPr>
          <w:p w:rsidR="00EB03B6" w:rsidRPr="00C90C95" w:rsidRDefault="00EB03B6" w:rsidP="00EB03B6">
            <w:pPr>
              <w:spacing w:line="252" w:lineRule="auto"/>
              <w:jc w:val="center"/>
              <w:rPr>
                <w:sz w:val="16"/>
                <w:szCs w:val="16"/>
              </w:rPr>
            </w:pPr>
            <w:r>
              <w:rPr>
                <w:sz w:val="16"/>
                <w:szCs w:val="16"/>
              </w:rPr>
              <w:t>4.86</w:t>
            </w:r>
          </w:p>
        </w:tc>
      </w:tr>
      <w:tr w:rsidR="00EB03B6" w:rsidRPr="00C90C95" w:rsidTr="00EB03B6">
        <w:trPr>
          <w:trHeight w:val="267"/>
        </w:trPr>
        <w:tc>
          <w:tcPr>
            <w:tcW w:w="1620" w:type="dxa"/>
            <w:tcBorders>
              <w:top w:val="nil"/>
              <w:left w:val="single" w:sz="12" w:space="0" w:color="auto"/>
              <w:bottom w:val="single" w:sz="12" w:space="0" w:color="auto"/>
              <w:right w:val="single" w:sz="12" w:space="0" w:color="auto"/>
            </w:tcBorders>
            <w:noWrap/>
            <w:tcMar>
              <w:top w:w="0" w:type="dxa"/>
              <w:left w:w="108" w:type="dxa"/>
              <w:bottom w:w="0" w:type="dxa"/>
              <w:right w:w="108" w:type="dxa"/>
            </w:tcMar>
            <w:vAlign w:val="bottom"/>
          </w:tcPr>
          <w:p w:rsidR="00EB03B6" w:rsidRPr="00C90C95" w:rsidRDefault="00EB03B6" w:rsidP="00EB03B6">
            <w:pPr>
              <w:spacing w:line="252" w:lineRule="auto"/>
              <w:jc w:val="center"/>
              <w:rPr>
                <w:sz w:val="10"/>
                <w:szCs w:val="16"/>
              </w:rPr>
            </w:pPr>
          </w:p>
          <w:p w:rsidR="00EB03B6" w:rsidRPr="00C90C95" w:rsidRDefault="00EB03B6" w:rsidP="00EB03B6">
            <w:pPr>
              <w:spacing w:line="252" w:lineRule="auto"/>
              <w:jc w:val="center"/>
              <w:rPr>
                <w:sz w:val="16"/>
                <w:szCs w:val="16"/>
              </w:rPr>
            </w:pPr>
            <w:r w:rsidRPr="00C90C95">
              <w:rPr>
                <w:sz w:val="16"/>
                <w:szCs w:val="16"/>
              </w:rPr>
              <w:t>36 months</w:t>
            </w:r>
          </w:p>
        </w:tc>
        <w:tc>
          <w:tcPr>
            <w:tcW w:w="2070"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rsidR="00EB03B6" w:rsidRPr="00C90C95" w:rsidRDefault="00EB03B6" w:rsidP="00EB03B6">
            <w:pPr>
              <w:spacing w:line="252" w:lineRule="auto"/>
              <w:jc w:val="center"/>
              <w:rPr>
                <w:sz w:val="16"/>
                <w:szCs w:val="16"/>
              </w:rPr>
            </w:pPr>
            <w:r w:rsidRPr="00C90C95">
              <w:rPr>
                <w:sz w:val="16"/>
                <w:szCs w:val="16"/>
              </w:rPr>
              <w:t>5.450</w:t>
            </w:r>
          </w:p>
        </w:tc>
        <w:tc>
          <w:tcPr>
            <w:tcW w:w="1830" w:type="dxa"/>
            <w:tcBorders>
              <w:top w:val="nil"/>
              <w:left w:val="nil"/>
              <w:bottom w:val="single" w:sz="12" w:space="0" w:color="auto"/>
              <w:right w:val="single" w:sz="12" w:space="0" w:color="auto"/>
            </w:tcBorders>
            <w:noWrap/>
            <w:tcMar>
              <w:top w:w="0" w:type="dxa"/>
              <w:left w:w="108" w:type="dxa"/>
              <w:bottom w:w="0" w:type="dxa"/>
              <w:right w:w="108" w:type="dxa"/>
            </w:tcMar>
            <w:vAlign w:val="bottom"/>
          </w:tcPr>
          <w:p w:rsidR="00EB03B6" w:rsidRPr="00C90C95" w:rsidRDefault="00EB03B6" w:rsidP="00EB03B6">
            <w:pPr>
              <w:spacing w:line="252" w:lineRule="auto"/>
              <w:jc w:val="center"/>
              <w:rPr>
                <w:sz w:val="16"/>
                <w:szCs w:val="16"/>
              </w:rPr>
            </w:pPr>
            <w:r w:rsidRPr="00C90C95">
              <w:rPr>
                <w:sz w:val="16"/>
                <w:szCs w:val="16"/>
              </w:rPr>
              <w:t>5.20</w:t>
            </w:r>
          </w:p>
        </w:tc>
        <w:tc>
          <w:tcPr>
            <w:tcW w:w="1595" w:type="dxa"/>
            <w:tcBorders>
              <w:top w:val="nil"/>
              <w:left w:val="nil"/>
              <w:bottom w:val="single" w:sz="12" w:space="0" w:color="auto"/>
              <w:right w:val="single" w:sz="12" w:space="0" w:color="auto"/>
            </w:tcBorders>
            <w:vAlign w:val="bottom"/>
          </w:tcPr>
          <w:p w:rsidR="00EB03B6" w:rsidRPr="00C90C95" w:rsidRDefault="00EB03B6" w:rsidP="00EB03B6">
            <w:pPr>
              <w:spacing w:line="252" w:lineRule="auto"/>
              <w:jc w:val="center"/>
              <w:rPr>
                <w:sz w:val="16"/>
                <w:szCs w:val="16"/>
              </w:rPr>
            </w:pPr>
            <w:r>
              <w:rPr>
                <w:sz w:val="16"/>
                <w:szCs w:val="16"/>
              </w:rPr>
              <w:t>5.09</w:t>
            </w:r>
          </w:p>
        </w:tc>
        <w:tc>
          <w:tcPr>
            <w:tcW w:w="1595" w:type="dxa"/>
            <w:tcBorders>
              <w:top w:val="nil"/>
              <w:left w:val="nil"/>
              <w:bottom w:val="single" w:sz="12" w:space="0" w:color="auto"/>
              <w:right w:val="single" w:sz="12" w:space="0" w:color="auto"/>
            </w:tcBorders>
            <w:vAlign w:val="bottom"/>
          </w:tcPr>
          <w:p w:rsidR="00EB03B6" w:rsidRPr="00230D5F" w:rsidRDefault="00340D05" w:rsidP="00EB03B6">
            <w:pPr>
              <w:spacing w:line="252" w:lineRule="auto"/>
              <w:jc w:val="center"/>
              <w:rPr>
                <w:sz w:val="16"/>
                <w:szCs w:val="16"/>
              </w:rPr>
            </w:pPr>
            <w:r w:rsidRPr="00230D5F">
              <w:rPr>
                <w:sz w:val="16"/>
                <w:szCs w:val="16"/>
              </w:rPr>
              <w:t>4</w:t>
            </w:r>
            <w:r w:rsidR="00EB03B6" w:rsidRPr="00230D5F">
              <w:rPr>
                <w:sz w:val="16"/>
                <w:szCs w:val="16"/>
              </w:rPr>
              <w:t>.77</w:t>
            </w:r>
          </w:p>
        </w:tc>
      </w:tr>
      <w:tr w:rsidR="00EB03B6" w:rsidRPr="00C90C95" w:rsidTr="00EB03B6">
        <w:trPr>
          <w:trHeight w:val="50"/>
        </w:trPr>
        <w:tc>
          <w:tcPr>
            <w:tcW w:w="1620" w:type="dxa"/>
            <w:tcBorders>
              <w:top w:val="nil"/>
              <w:left w:val="single" w:sz="12" w:space="0" w:color="auto"/>
              <w:bottom w:val="single" w:sz="12" w:space="0" w:color="auto"/>
              <w:right w:val="single" w:sz="12" w:space="0" w:color="auto"/>
            </w:tcBorders>
            <w:noWrap/>
            <w:tcMar>
              <w:top w:w="0" w:type="dxa"/>
              <w:left w:w="108" w:type="dxa"/>
              <w:bottom w:w="0" w:type="dxa"/>
              <w:right w:w="108" w:type="dxa"/>
            </w:tcMar>
            <w:vAlign w:val="bottom"/>
          </w:tcPr>
          <w:p w:rsidR="00EB03B6" w:rsidRPr="00C90C95" w:rsidRDefault="00EB03B6" w:rsidP="00EB03B6">
            <w:pPr>
              <w:spacing w:line="252" w:lineRule="auto"/>
              <w:jc w:val="center"/>
              <w:rPr>
                <w:sz w:val="10"/>
                <w:szCs w:val="16"/>
              </w:rPr>
            </w:pPr>
          </w:p>
          <w:p w:rsidR="00EB03B6" w:rsidRPr="00C90C95" w:rsidRDefault="00EB03B6" w:rsidP="00EB03B6">
            <w:pPr>
              <w:spacing w:line="252" w:lineRule="auto"/>
              <w:jc w:val="center"/>
              <w:rPr>
                <w:sz w:val="16"/>
                <w:szCs w:val="16"/>
              </w:rPr>
            </w:pPr>
            <w:r w:rsidRPr="00C90C95">
              <w:rPr>
                <w:sz w:val="16"/>
                <w:szCs w:val="16"/>
              </w:rPr>
              <w:t>42 months</w:t>
            </w:r>
          </w:p>
        </w:tc>
        <w:tc>
          <w:tcPr>
            <w:tcW w:w="2070"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rsidR="00EB03B6" w:rsidRPr="00C90C95" w:rsidRDefault="00EB03B6" w:rsidP="00EB03B6">
            <w:pPr>
              <w:spacing w:line="252" w:lineRule="auto"/>
              <w:jc w:val="center"/>
              <w:rPr>
                <w:sz w:val="16"/>
                <w:szCs w:val="16"/>
              </w:rPr>
            </w:pPr>
            <w:r w:rsidRPr="00C90C95">
              <w:rPr>
                <w:sz w:val="16"/>
                <w:szCs w:val="16"/>
              </w:rPr>
              <w:t>n/a</w:t>
            </w:r>
          </w:p>
        </w:tc>
        <w:tc>
          <w:tcPr>
            <w:tcW w:w="1830" w:type="dxa"/>
            <w:tcBorders>
              <w:top w:val="nil"/>
              <w:left w:val="nil"/>
              <w:bottom w:val="single" w:sz="12" w:space="0" w:color="auto"/>
              <w:right w:val="single" w:sz="12" w:space="0" w:color="auto"/>
            </w:tcBorders>
            <w:noWrap/>
            <w:tcMar>
              <w:top w:w="0" w:type="dxa"/>
              <w:left w:w="108" w:type="dxa"/>
              <w:bottom w:w="0" w:type="dxa"/>
              <w:right w:w="108" w:type="dxa"/>
            </w:tcMar>
            <w:vAlign w:val="bottom"/>
          </w:tcPr>
          <w:p w:rsidR="00EB03B6" w:rsidRPr="00C90C95" w:rsidRDefault="00EB03B6" w:rsidP="00EB03B6">
            <w:pPr>
              <w:spacing w:line="252" w:lineRule="auto"/>
              <w:jc w:val="center"/>
              <w:rPr>
                <w:sz w:val="16"/>
                <w:szCs w:val="16"/>
              </w:rPr>
            </w:pPr>
            <w:r w:rsidRPr="00C90C95">
              <w:rPr>
                <w:sz w:val="16"/>
                <w:szCs w:val="16"/>
              </w:rPr>
              <w:t>n/a</w:t>
            </w:r>
          </w:p>
        </w:tc>
        <w:tc>
          <w:tcPr>
            <w:tcW w:w="1595" w:type="dxa"/>
            <w:tcBorders>
              <w:top w:val="nil"/>
              <w:left w:val="nil"/>
              <w:bottom w:val="single" w:sz="12" w:space="0" w:color="auto"/>
              <w:right w:val="single" w:sz="12" w:space="0" w:color="auto"/>
            </w:tcBorders>
            <w:vAlign w:val="bottom"/>
          </w:tcPr>
          <w:p w:rsidR="00EB03B6" w:rsidRPr="00C90C95" w:rsidRDefault="00EB03B6" w:rsidP="00EB03B6">
            <w:pPr>
              <w:spacing w:line="252" w:lineRule="auto"/>
              <w:jc w:val="center"/>
              <w:rPr>
                <w:sz w:val="16"/>
                <w:szCs w:val="16"/>
              </w:rPr>
            </w:pPr>
            <w:r w:rsidRPr="00C90C95">
              <w:rPr>
                <w:sz w:val="16"/>
                <w:szCs w:val="16"/>
              </w:rPr>
              <w:t>n/a</w:t>
            </w:r>
          </w:p>
        </w:tc>
        <w:tc>
          <w:tcPr>
            <w:tcW w:w="1595" w:type="dxa"/>
            <w:tcBorders>
              <w:top w:val="nil"/>
              <w:left w:val="nil"/>
              <w:bottom w:val="single" w:sz="12" w:space="0" w:color="auto"/>
              <w:right w:val="single" w:sz="12" w:space="0" w:color="auto"/>
            </w:tcBorders>
            <w:vAlign w:val="bottom"/>
          </w:tcPr>
          <w:p w:rsidR="00EB03B6" w:rsidRPr="00C90C95" w:rsidRDefault="00EB03B6" w:rsidP="00EB03B6">
            <w:pPr>
              <w:spacing w:line="252" w:lineRule="auto"/>
              <w:jc w:val="center"/>
              <w:rPr>
                <w:sz w:val="16"/>
                <w:szCs w:val="16"/>
              </w:rPr>
            </w:pPr>
            <w:r w:rsidRPr="00C90C95">
              <w:rPr>
                <w:sz w:val="16"/>
                <w:szCs w:val="16"/>
              </w:rPr>
              <w:t>n/a</w:t>
            </w:r>
          </w:p>
        </w:tc>
      </w:tr>
      <w:tr w:rsidR="00EB03B6" w:rsidRPr="00C90C95" w:rsidTr="00EB03B6">
        <w:trPr>
          <w:trHeight w:val="224"/>
        </w:trPr>
        <w:tc>
          <w:tcPr>
            <w:tcW w:w="1620" w:type="dxa"/>
            <w:tcBorders>
              <w:top w:val="nil"/>
              <w:left w:val="single" w:sz="12" w:space="0" w:color="auto"/>
              <w:bottom w:val="single" w:sz="12" w:space="0" w:color="auto"/>
              <w:right w:val="single" w:sz="12" w:space="0" w:color="auto"/>
            </w:tcBorders>
            <w:noWrap/>
            <w:tcMar>
              <w:top w:w="0" w:type="dxa"/>
              <w:left w:w="108" w:type="dxa"/>
              <w:bottom w:w="0" w:type="dxa"/>
              <w:right w:w="108" w:type="dxa"/>
            </w:tcMar>
            <w:vAlign w:val="bottom"/>
          </w:tcPr>
          <w:p w:rsidR="00EB03B6" w:rsidRPr="00C90C95" w:rsidRDefault="00EB03B6" w:rsidP="00EB03B6">
            <w:pPr>
              <w:spacing w:line="252" w:lineRule="auto"/>
              <w:jc w:val="center"/>
              <w:rPr>
                <w:sz w:val="10"/>
                <w:szCs w:val="16"/>
              </w:rPr>
            </w:pPr>
          </w:p>
          <w:p w:rsidR="00EB03B6" w:rsidRPr="00C90C95" w:rsidRDefault="00EB03B6" w:rsidP="00EB03B6">
            <w:pPr>
              <w:spacing w:line="252" w:lineRule="auto"/>
              <w:jc w:val="center"/>
              <w:rPr>
                <w:sz w:val="16"/>
                <w:szCs w:val="16"/>
              </w:rPr>
            </w:pPr>
            <w:r w:rsidRPr="00C90C95">
              <w:rPr>
                <w:sz w:val="16"/>
                <w:szCs w:val="16"/>
              </w:rPr>
              <w:t>48 months</w:t>
            </w:r>
          </w:p>
        </w:tc>
        <w:tc>
          <w:tcPr>
            <w:tcW w:w="2070"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rsidR="00EB03B6" w:rsidRPr="00C90C95" w:rsidRDefault="00EB03B6" w:rsidP="00EB03B6">
            <w:pPr>
              <w:spacing w:line="252" w:lineRule="auto"/>
              <w:jc w:val="center"/>
              <w:rPr>
                <w:sz w:val="16"/>
                <w:szCs w:val="16"/>
              </w:rPr>
            </w:pPr>
            <w:r w:rsidRPr="00C90C95">
              <w:rPr>
                <w:sz w:val="16"/>
                <w:szCs w:val="16"/>
              </w:rPr>
              <w:t>n/a</w:t>
            </w:r>
          </w:p>
        </w:tc>
        <w:tc>
          <w:tcPr>
            <w:tcW w:w="1830" w:type="dxa"/>
            <w:tcBorders>
              <w:top w:val="nil"/>
              <w:left w:val="nil"/>
              <w:bottom w:val="single" w:sz="12" w:space="0" w:color="auto"/>
              <w:right w:val="single" w:sz="12" w:space="0" w:color="auto"/>
            </w:tcBorders>
            <w:noWrap/>
            <w:tcMar>
              <w:top w:w="0" w:type="dxa"/>
              <w:left w:w="108" w:type="dxa"/>
              <w:bottom w:w="0" w:type="dxa"/>
              <w:right w:w="108" w:type="dxa"/>
            </w:tcMar>
            <w:vAlign w:val="bottom"/>
          </w:tcPr>
          <w:p w:rsidR="00EB03B6" w:rsidRPr="00C90C95" w:rsidRDefault="00EB03B6" w:rsidP="00EB03B6">
            <w:pPr>
              <w:spacing w:line="252" w:lineRule="auto"/>
              <w:jc w:val="center"/>
              <w:rPr>
                <w:sz w:val="16"/>
                <w:szCs w:val="16"/>
              </w:rPr>
            </w:pPr>
            <w:r w:rsidRPr="00C90C95">
              <w:rPr>
                <w:sz w:val="16"/>
                <w:szCs w:val="16"/>
              </w:rPr>
              <w:t>n/a</w:t>
            </w:r>
          </w:p>
        </w:tc>
        <w:tc>
          <w:tcPr>
            <w:tcW w:w="1595" w:type="dxa"/>
            <w:tcBorders>
              <w:top w:val="nil"/>
              <w:left w:val="nil"/>
              <w:bottom w:val="single" w:sz="12" w:space="0" w:color="auto"/>
              <w:right w:val="single" w:sz="12" w:space="0" w:color="auto"/>
            </w:tcBorders>
            <w:vAlign w:val="bottom"/>
          </w:tcPr>
          <w:p w:rsidR="00EB03B6" w:rsidRPr="00C90C95" w:rsidRDefault="00EB03B6" w:rsidP="00EB03B6">
            <w:pPr>
              <w:spacing w:line="252" w:lineRule="auto"/>
              <w:jc w:val="center"/>
              <w:rPr>
                <w:sz w:val="16"/>
                <w:szCs w:val="16"/>
              </w:rPr>
            </w:pPr>
            <w:r w:rsidRPr="00C90C95">
              <w:rPr>
                <w:sz w:val="16"/>
                <w:szCs w:val="16"/>
              </w:rPr>
              <w:t>n/a</w:t>
            </w:r>
          </w:p>
        </w:tc>
        <w:tc>
          <w:tcPr>
            <w:tcW w:w="1595" w:type="dxa"/>
            <w:tcBorders>
              <w:top w:val="nil"/>
              <w:left w:val="nil"/>
              <w:bottom w:val="single" w:sz="12" w:space="0" w:color="auto"/>
              <w:right w:val="single" w:sz="12" w:space="0" w:color="auto"/>
            </w:tcBorders>
            <w:vAlign w:val="bottom"/>
          </w:tcPr>
          <w:p w:rsidR="00EB03B6" w:rsidRPr="00C90C95" w:rsidRDefault="00EB03B6" w:rsidP="00EB03B6">
            <w:pPr>
              <w:spacing w:line="252" w:lineRule="auto"/>
              <w:jc w:val="center"/>
              <w:rPr>
                <w:sz w:val="16"/>
                <w:szCs w:val="16"/>
              </w:rPr>
            </w:pPr>
            <w:r w:rsidRPr="00C90C95">
              <w:rPr>
                <w:sz w:val="16"/>
                <w:szCs w:val="16"/>
              </w:rPr>
              <w:t>n/a</w:t>
            </w:r>
          </w:p>
        </w:tc>
      </w:tr>
    </w:tbl>
    <w:p w:rsidR="00580120" w:rsidRPr="00C90C95" w:rsidRDefault="00580120" w:rsidP="00580120">
      <w:pPr>
        <w:rPr>
          <w:b/>
          <w:bCs/>
          <w:sz w:val="22"/>
          <w:szCs w:val="22"/>
        </w:rPr>
      </w:pPr>
    </w:p>
    <w:p w:rsidR="00580120" w:rsidRPr="00C90C95" w:rsidRDefault="00580120" w:rsidP="00580120">
      <w:pPr>
        <w:rPr>
          <w:b/>
          <w:bCs/>
          <w:sz w:val="22"/>
          <w:szCs w:val="22"/>
        </w:rPr>
      </w:pPr>
    </w:p>
    <w:p w:rsidR="00580120" w:rsidRPr="00C90C95" w:rsidRDefault="00580120" w:rsidP="00580120">
      <w:pPr>
        <w:rPr>
          <w:b/>
          <w:bCs/>
          <w:sz w:val="22"/>
          <w:szCs w:val="22"/>
        </w:rPr>
      </w:pPr>
    </w:p>
    <w:p w:rsidR="00580120" w:rsidRPr="00C90C95" w:rsidRDefault="00580120" w:rsidP="00580120">
      <w:pPr>
        <w:rPr>
          <w:b/>
          <w:bCs/>
          <w:sz w:val="22"/>
          <w:szCs w:val="22"/>
        </w:rPr>
      </w:pPr>
    </w:p>
    <w:p w:rsidR="00580120" w:rsidRPr="00C90C95" w:rsidRDefault="00580120" w:rsidP="00580120">
      <w:pPr>
        <w:rPr>
          <w:b/>
          <w:bCs/>
          <w:sz w:val="22"/>
          <w:szCs w:val="22"/>
        </w:rPr>
      </w:pPr>
    </w:p>
    <w:p w:rsidR="0027282F" w:rsidRPr="0027282F" w:rsidRDefault="0027282F" w:rsidP="0027282F">
      <w:pPr>
        <w:pStyle w:val="ListParagraph"/>
        <w:ind w:left="1080"/>
        <w:rPr>
          <w:bCs/>
          <w:sz w:val="22"/>
          <w:szCs w:val="22"/>
        </w:rPr>
      </w:pPr>
    </w:p>
    <w:p w:rsidR="0092280F" w:rsidRPr="00C90C95" w:rsidRDefault="0092280F" w:rsidP="0092280F">
      <w:pPr>
        <w:pStyle w:val="ListParagraph"/>
        <w:numPr>
          <w:ilvl w:val="0"/>
          <w:numId w:val="1"/>
        </w:numPr>
        <w:rPr>
          <w:b/>
          <w:bCs/>
          <w:sz w:val="22"/>
          <w:szCs w:val="22"/>
        </w:rPr>
      </w:pPr>
      <w:r w:rsidRPr="00C90C95">
        <w:rPr>
          <w:b/>
          <w:bCs/>
          <w:sz w:val="22"/>
          <w:szCs w:val="22"/>
        </w:rPr>
        <w:t>NEW BUSINESS:</w:t>
      </w:r>
    </w:p>
    <w:p w:rsidR="0092280F" w:rsidRDefault="0092280F" w:rsidP="0092280F">
      <w:pPr>
        <w:pStyle w:val="ListParagraph"/>
        <w:rPr>
          <w:b/>
          <w:bCs/>
          <w:sz w:val="22"/>
          <w:szCs w:val="22"/>
        </w:rPr>
      </w:pPr>
    </w:p>
    <w:p w:rsidR="0092280F" w:rsidRPr="0027282F" w:rsidRDefault="0092280F" w:rsidP="0092280F">
      <w:pPr>
        <w:pStyle w:val="ListParagraph"/>
        <w:numPr>
          <w:ilvl w:val="0"/>
          <w:numId w:val="1"/>
        </w:numPr>
        <w:rPr>
          <w:b/>
          <w:sz w:val="22"/>
          <w:szCs w:val="22"/>
        </w:rPr>
      </w:pPr>
      <w:r w:rsidRPr="0027282F">
        <w:rPr>
          <w:b/>
          <w:bCs/>
          <w:sz w:val="22"/>
          <w:szCs w:val="22"/>
        </w:rPr>
        <w:t>ADJOURN:</w:t>
      </w:r>
    </w:p>
    <w:p w:rsidR="0092280F" w:rsidRPr="0027282F" w:rsidRDefault="0092280F" w:rsidP="0092280F">
      <w:pPr>
        <w:rPr>
          <w:b/>
          <w:sz w:val="22"/>
          <w:szCs w:val="22"/>
        </w:rPr>
      </w:pPr>
    </w:p>
    <w:p w:rsidR="004C6AB1" w:rsidRDefault="004C6AB1"/>
    <w:p w:rsidR="00FF3CD2" w:rsidRDefault="00FF3CD2"/>
    <w:p w:rsidR="00FF3CD2" w:rsidRDefault="00FF3CD2"/>
    <w:p w:rsidR="00FF3CD2" w:rsidRDefault="00FF3CD2"/>
    <w:p w:rsidR="00FF3CD2" w:rsidRDefault="00FF3CD2"/>
    <w:p w:rsidR="00FF3CD2" w:rsidRDefault="00FF3CD2"/>
    <w:p w:rsidR="00FF3CD2" w:rsidRDefault="00FF3CD2"/>
    <w:p w:rsidR="00FF3CD2" w:rsidRDefault="00FF3CD2"/>
    <w:p w:rsidR="00FF3CD2" w:rsidRPr="00FF3CD2" w:rsidRDefault="00FF3CD2" w:rsidP="00FF3CD2">
      <w:pPr>
        <w:rPr>
          <w:b/>
          <w:sz w:val="22"/>
          <w:szCs w:val="22"/>
          <w:u w:val="double"/>
        </w:rPr>
      </w:pPr>
      <w:r w:rsidRPr="00FF3CD2">
        <w:rPr>
          <w:b/>
          <w:u w:val="double"/>
        </w:rPr>
        <w:lastRenderedPageBreak/>
        <w:t>BUSINESS SESSION:</w:t>
      </w:r>
      <w:r w:rsidRPr="00FF3CD2">
        <w:rPr>
          <w:u w:val="double"/>
        </w:rPr>
        <w:tab/>
      </w:r>
      <w:r w:rsidRPr="00FF3CD2">
        <w:rPr>
          <w:b/>
          <w:sz w:val="22"/>
          <w:szCs w:val="22"/>
          <w:u w:val="double"/>
        </w:rPr>
        <w:t xml:space="preserve">THURSDAY, JULY 7, 2022, 10:00 A.M. </w:t>
      </w:r>
    </w:p>
    <w:p w:rsidR="00FF3CD2" w:rsidRDefault="00FF3CD2" w:rsidP="00FF3CD2">
      <w:pPr>
        <w:rPr>
          <w:sz w:val="22"/>
          <w:szCs w:val="22"/>
        </w:rPr>
      </w:pPr>
      <w:r>
        <w:rPr>
          <w:sz w:val="22"/>
          <w:szCs w:val="22"/>
        </w:rPr>
        <w:t>Location:</w:t>
      </w:r>
      <w:r>
        <w:rPr>
          <w:sz w:val="22"/>
          <w:szCs w:val="22"/>
        </w:rPr>
        <w:tab/>
      </w:r>
      <w:r>
        <w:rPr>
          <w:sz w:val="22"/>
          <w:szCs w:val="22"/>
        </w:rPr>
        <w:tab/>
      </w:r>
      <w:r>
        <w:rPr>
          <w:sz w:val="22"/>
          <w:szCs w:val="22"/>
        </w:rPr>
        <w:tab/>
        <w:t>Commissioner’s Meeting Room, Basement.</w:t>
      </w:r>
    </w:p>
    <w:p w:rsidR="00FF3CD2" w:rsidRPr="00FF3CD2" w:rsidRDefault="00FF3CD2" w:rsidP="00FF3CD2">
      <w:pPr>
        <w:rPr>
          <w:sz w:val="22"/>
          <w:szCs w:val="22"/>
        </w:rPr>
      </w:pPr>
    </w:p>
    <w:p w:rsidR="00FF3CD2" w:rsidRPr="00C90C95" w:rsidRDefault="00FF3CD2" w:rsidP="00FF3CD2">
      <w:pPr>
        <w:rPr>
          <w:i/>
          <w:sz w:val="22"/>
          <w:szCs w:val="22"/>
        </w:rPr>
      </w:pPr>
      <w:r w:rsidRPr="00C90C95">
        <w:rPr>
          <w:i/>
          <w:sz w:val="22"/>
          <w:szCs w:val="22"/>
        </w:rPr>
        <w:t>*Public meetings are being held both in-person and by conference call.  To participate in the meeting please dial 1-408-419-1715 or 1-408-915-6290 and enter meeting number 2468097683#</w:t>
      </w:r>
    </w:p>
    <w:p w:rsidR="00FF3CD2" w:rsidRPr="00C90C95" w:rsidRDefault="00FF3CD2" w:rsidP="00FF3CD2">
      <w:pPr>
        <w:jc w:val="center"/>
        <w:rPr>
          <w:b/>
          <w:sz w:val="22"/>
          <w:szCs w:val="22"/>
        </w:rPr>
      </w:pPr>
    </w:p>
    <w:p w:rsidR="00FF3CD2" w:rsidRPr="00702357" w:rsidRDefault="00FF3CD2" w:rsidP="00FF3CD2">
      <w:pPr>
        <w:rPr>
          <w:b/>
          <w:bCs/>
          <w:sz w:val="22"/>
          <w:szCs w:val="22"/>
          <w:u w:val="single"/>
        </w:rPr>
      </w:pPr>
      <w:r w:rsidRPr="00702357">
        <w:rPr>
          <w:b/>
          <w:bCs/>
          <w:sz w:val="22"/>
          <w:szCs w:val="22"/>
          <w:u w:val="single"/>
        </w:rPr>
        <w:t>Call to Order</w:t>
      </w:r>
      <w:r w:rsidR="00603A2A">
        <w:rPr>
          <w:b/>
          <w:bCs/>
          <w:sz w:val="22"/>
          <w:szCs w:val="22"/>
          <w:u w:val="single"/>
        </w:rPr>
        <w:t>:</w:t>
      </w:r>
    </w:p>
    <w:p w:rsidR="00FF3CD2" w:rsidRPr="00A25DF8" w:rsidRDefault="00A25DF8" w:rsidP="00FF3CD2">
      <w:pPr>
        <w:rPr>
          <w:bCs/>
          <w:sz w:val="22"/>
          <w:szCs w:val="22"/>
        </w:rPr>
      </w:pPr>
      <w:r w:rsidRPr="00A25DF8">
        <w:rPr>
          <w:bCs/>
          <w:sz w:val="22"/>
          <w:szCs w:val="22"/>
        </w:rPr>
        <w:t>Commissioner Erb called the meeting to order.</w:t>
      </w:r>
    </w:p>
    <w:p w:rsidR="00A25DF8" w:rsidRPr="00C90C95" w:rsidRDefault="00A25DF8" w:rsidP="00FF3CD2">
      <w:pPr>
        <w:rPr>
          <w:b/>
          <w:bCs/>
          <w:sz w:val="22"/>
          <w:szCs w:val="22"/>
        </w:rPr>
      </w:pPr>
    </w:p>
    <w:p w:rsidR="00FF3CD2" w:rsidRDefault="00FF3CD2" w:rsidP="00FF3CD2">
      <w:pPr>
        <w:rPr>
          <w:b/>
          <w:bCs/>
          <w:sz w:val="22"/>
          <w:szCs w:val="22"/>
          <w:u w:val="single"/>
        </w:rPr>
      </w:pPr>
      <w:r w:rsidRPr="00702357">
        <w:rPr>
          <w:b/>
          <w:bCs/>
          <w:sz w:val="22"/>
          <w:szCs w:val="22"/>
          <w:u w:val="single"/>
        </w:rPr>
        <w:t>Moment of Silent Reflection</w:t>
      </w:r>
      <w:r w:rsidR="00603A2A">
        <w:rPr>
          <w:b/>
          <w:bCs/>
          <w:sz w:val="22"/>
          <w:szCs w:val="22"/>
          <w:u w:val="single"/>
        </w:rPr>
        <w:t>:</w:t>
      </w:r>
    </w:p>
    <w:p w:rsidR="00A25DF8" w:rsidRPr="00A25DF8" w:rsidRDefault="00A25DF8" w:rsidP="00FF3CD2">
      <w:pPr>
        <w:rPr>
          <w:bCs/>
          <w:sz w:val="22"/>
          <w:szCs w:val="22"/>
        </w:rPr>
      </w:pPr>
      <w:r w:rsidRPr="00A25DF8">
        <w:rPr>
          <w:bCs/>
          <w:sz w:val="22"/>
          <w:szCs w:val="22"/>
        </w:rPr>
        <w:t>Commissioner Erb called for a moment of silent reflection.</w:t>
      </w:r>
    </w:p>
    <w:p w:rsidR="00FF3CD2" w:rsidRPr="00C90C95" w:rsidRDefault="00FF3CD2" w:rsidP="00FF3CD2">
      <w:pPr>
        <w:pStyle w:val="ListParagraph"/>
        <w:ind w:left="0"/>
        <w:rPr>
          <w:b/>
          <w:bCs/>
          <w:sz w:val="22"/>
          <w:szCs w:val="22"/>
        </w:rPr>
      </w:pPr>
    </w:p>
    <w:p w:rsidR="00FF3CD2" w:rsidRDefault="00FF3CD2" w:rsidP="00FF3CD2">
      <w:pPr>
        <w:rPr>
          <w:b/>
          <w:bCs/>
          <w:sz w:val="22"/>
          <w:szCs w:val="22"/>
          <w:u w:val="single"/>
        </w:rPr>
      </w:pPr>
      <w:r w:rsidRPr="00702357">
        <w:rPr>
          <w:b/>
          <w:bCs/>
          <w:sz w:val="22"/>
          <w:szCs w:val="22"/>
          <w:u w:val="single"/>
        </w:rPr>
        <w:t>Pledge of Allegiance to the Flag</w:t>
      </w:r>
      <w:r w:rsidR="00603A2A">
        <w:rPr>
          <w:b/>
          <w:bCs/>
          <w:sz w:val="22"/>
          <w:szCs w:val="22"/>
          <w:u w:val="single"/>
        </w:rPr>
        <w:t>:</w:t>
      </w:r>
    </w:p>
    <w:p w:rsidR="00A25DF8" w:rsidRPr="00A25DF8" w:rsidRDefault="00A25DF8" w:rsidP="00FF3CD2">
      <w:pPr>
        <w:rPr>
          <w:bCs/>
          <w:sz w:val="22"/>
          <w:szCs w:val="22"/>
        </w:rPr>
      </w:pPr>
      <w:r w:rsidRPr="00A25DF8">
        <w:rPr>
          <w:bCs/>
          <w:sz w:val="22"/>
          <w:szCs w:val="22"/>
        </w:rPr>
        <w:t>Commissioner Erb requested that those participating in the meeting please stand and recite the Pledge of Allegiance to the Flag.</w:t>
      </w:r>
    </w:p>
    <w:p w:rsidR="00A25DF8" w:rsidRPr="00702357" w:rsidRDefault="00A25DF8" w:rsidP="00FF3CD2">
      <w:pPr>
        <w:rPr>
          <w:b/>
          <w:bCs/>
          <w:sz w:val="22"/>
          <w:szCs w:val="22"/>
          <w:u w:val="single"/>
        </w:rPr>
      </w:pPr>
    </w:p>
    <w:p w:rsidR="00FF3CD2" w:rsidRDefault="00FF3CD2" w:rsidP="00FF3CD2">
      <w:pPr>
        <w:rPr>
          <w:b/>
          <w:bCs/>
          <w:sz w:val="22"/>
          <w:szCs w:val="22"/>
          <w:u w:val="single"/>
        </w:rPr>
      </w:pPr>
      <w:r w:rsidRPr="00702357">
        <w:rPr>
          <w:b/>
          <w:bCs/>
          <w:sz w:val="22"/>
          <w:szCs w:val="22"/>
          <w:u w:val="single"/>
        </w:rPr>
        <w:t>Roll Call</w:t>
      </w:r>
      <w:r w:rsidR="00603A2A">
        <w:rPr>
          <w:b/>
          <w:bCs/>
          <w:sz w:val="22"/>
          <w:szCs w:val="22"/>
          <w:u w:val="single"/>
        </w:rPr>
        <w:t>:</w:t>
      </w:r>
    </w:p>
    <w:p w:rsidR="00A25DF8" w:rsidRDefault="00A25DF8" w:rsidP="00FF3CD2">
      <w:pPr>
        <w:rPr>
          <w:b/>
          <w:bCs/>
          <w:sz w:val="22"/>
          <w:szCs w:val="22"/>
          <w:u w:val="single"/>
        </w:rPr>
      </w:pPr>
      <w:r>
        <w:rPr>
          <w:b/>
          <w:bCs/>
          <w:sz w:val="22"/>
          <w:szCs w:val="22"/>
          <w:u w:val="single"/>
        </w:rPr>
        <w:t>Members Present:</w:t>
      </w:r>
    </w:p>
    <w:p w:rsidR="00A25DF8" w:rsidRDefault="00A25DF8" w:rsidP="00FF3CD2">
      <w:pPr>
        <w:rPr>
          <w:bCs/>
          <w:sz w:val="22"/>
          <w:szCs w:val="22"/>
        </w:rPr>
      </w:pPr>
      <w:r w:rsidRPr="00603A2A">
        <w:rPr>
          <w:bCs/>
          <w:sz w:val="22"/>
          <w:szCs w:val="22"/>
        </w:rPr>
        <w:t>Commissioner Erb, Commissioner Burke, Commissioner Webster and Chief Clerk Hemminger.</w:t>
      </w:r>
    </w:p>
    <w:p w:rsidR="00603A2A" w:rsidRDefault="00603A2A" w:rsidP="00FF3CD2">
      <w:pPr>
        <w:rPr>
          <w:bCs/>
          <w:sz w:val="22"/>
          <w:szCs w:val="22"/>
        </w:rPr>
      </w:pPr>
    </w:p>
    <w:p w:rsidR="00603A2A" w:rsidRPr="00603A2A" w:rsidRDefault="00603A2A" w:rsidP="00FF3CD2">
      <w:pPr>
        <w:rPr>
          <w:b/>
          <w:bCs/>
          <w:sz w:val="22"/>
          <w:szCs w:val="22"/>
          <w:u w:val="single"/>
        </w:rPr>
      </w:pPr>
      <w:r w:rsidRPr="00603A2A">
        <w:rPr>
          <w:b/>
          <w:bCs/>
          <w:sz w:val="22"/>
          <w:szCs w:val="22"/>
          <w:u w:val="single"/>
        </w:rPr>
        <w:t>Members Absent:</w:t>
      </w:r>
    </w:p>
    <w:p w:rsidR="00603A2A" w:rsidRPr="00603A2A" w:rsidRDefault="00603A2A" w:rsidP="00FF3CD2">
      <w:pPr>
        <w:rPr>
          <w:bCs/>
          <w:sz w:val="22"/>
          <w:szCs w:val="22"/>
        </w:rPr>
      </w:pPr>
      <w:r>
        <w:rPr>
          <w:bCs/>
          <w:sz w:val="22"/>
          <w:szCs w:val="22"/>
        </w:rPr>
        <w:t>Solicitor Karn and Assistant Solicitor Muriceak.</w:t>
      </w:r>
    </w:p>
    <w:p w:rsidR="00FF3CD2" w:rsidRDefault="00FF3CD2" w:rsidP="00FF3CD2">
      <w:pPr>
        <w:pStyle w:val="ListParagraph"/>
        <w:ind w:left="0"/>
        <w:rPr>
          <w:b/>
          <w:bCs/>
          <w:sz w:val="22"/>
          <w:szCs w:val="22"/>
        </w:rPr>
      </w:pPr>
    </w:p>
    <w:p w:rsidR="00B739A5" w:rsidRPr="00B739A5" w:rsidRDefault="00B739A5" w:rsidP="00FF3CD2">
      <w:pPr>
        <w:pStyle w:val="ListParagraph"/>
        <w:ind w:left="0"/>
        <w:rPr>
          <w:b/>
          <w:bCs/>
          <w:sz w:val="22"/>
          <w:szCs w:val="22"/>
          <w:u w:val="single"/>
        </w:rPr>
      </w:pPr>
      <w:r w:rsidRPr="00B739A5">
        <w:rPr>
          <w:b/>
          <w:bCs/>
          <w:sz w:val="22"/>
          <w:szCs w:val="22"/>
          <w:u w:val="single"/>
        </w:rPr>
        <w:t>Others Present:</w:t>
      </w:r>
    </w:p>
    <w:p w:rsidR="00B739A5" w:rsidRPr="00B739A5" w:rsidRDefault="00B739A5" w:rsidP="00FF3CD2">
      <w:pPr>
        <w:pStyle w:val="ListParagraph"/>
        <w:ind w:left="0"/>
        <w:rPr>
          <w:bCs/>
          <w:sz w:val="22"/>
          <w:szCs w:val="22"/>
        </w:rPr>
      </w:pPr>
      <w:r>
        <w:rPr>
          <w:bCs/>
          <w:sz w:val="22"/>
          <w:szCs w:val="22"/>
        </w:rPr>
        <w:t xml:space="preserve">Sarah Seymour (Elections/Voters Registration), </w:t>
      </w:r>
      <w:r w:rsidRPr="00B739A5">
        <w:rPr>
          <w:bCs/>
          <w:sz w:val="22"/>
          <w:szCs w:val="22"/>
        </w:rPr>
        <w:t>AC Stickel (Controller), Bryan King (Hollidaysburg Community Watchdog Group), Brandon Meck (Finance), Rebecca Robinson (Purchasing), Nicole Smith (Court Administration), Kay Stephens (Altoona Mirror), Allison Senkevich and Melissa Harpster (Commissioner’s Office).</w:t>
      </w:r>
    </w:p>
    <w:p w:rsidR="00B739A5" w:rsidRPr="00C90C95" w:rsidRDefault="00B739A5" w:rsidP="00FF3CD2">
      <w:pPr>
        <w:pStyle w:val="ListParagraph"/>
        <w:ind w:left="0"/>
        <w:rPr>
          <w:b/>
          <w:bCs/>
          <w:sz w:val="22"/>
          <w:szCs w:val="22"/>
        </w:rPr>
      </w:pPr>
    </w:p>
    <w:p w:rsidR="00FF3CD2" w:rsidRDefault="00FF3CD2" w:rsidP="00FF3CD2">
      <w:pPr>
        <w:rPr>
          <w:b/>
          <w:bCs/>
          <w:sz w:val="22"/>
          <w:szCs w:val="22"/>
          <w:u w:val="single"/>
        </w:rPr>
      </w:pPr>
      <w:r w:rsidRPr="00702357">
        <w:rPr>
          <w:b/>
          <w:bCs/>
          <w:sz w:val="22"/>
          <w:szCs w:val="22"/>
          <w:u w:val="single"/>
        </w:rPr>
        <w:t>Public Comment</w:t>
      </w:r>
      <w:r w:rsidR="000F0E76">
        <w:rPr>
          <w:b/>
          <w:bCs/>
          <w:sz w:val="22"/>
          <w:szCs w:val="22"/>
          <w:u w:val="single"/>
        </w:rPr>
        <w:t>:</w:t>
      </w:r>
    </w:p>
    <w:p w:rsidR="00AD0FFB" w:rsidRPr="00AD0FFB" w:rsidRDefault="00AD0FFB" w:rsidP="00FF3CD2">
      <w:pPr>
        <w:rPr>
          <w:b/>
          <w:bCs/>
          <w:sz w:val="22"/>
          <w:szCs w:val="22"/>
        </w:rPr>
      </w:pPr>
      <w:r w:rsidRPr="00AD0FFB">
        <w:rPr>
          <w:bCs/>
          <w:sz w:val="22"/>
          <w:szCs w:val="22"/>
        </w:rPr>
        <w:t>Commissioner Erb called for public comment</w:t>
      </w:r>
      <w:r w:rsidRPr="00AD0FFB">
        <w:rPr>
          <w:b/>
          <w:bCs/>
          <w:sz w:val="22"/>
          <w:szCs w:val="22"/>
        </w:rPr>
        <w:t>.  There were no comments noted.</w:t>
      </w:r>
    </w:p>
    <w:p w:rsidR="00FF3CD2" w:rsidRPr="0093063F" w:rsidRDefault="00FF3CD2" w:rsidP="00FF3CD2">
      <w:pPr>
        <w:pStyle w:val="ListParagraph"/>
        <w:ind w:left="0"/>
        <w:rPr>
          <w:b/>
          <w:bCs/>
          <w:sz w:val="22"/>
          <w:szCs w:val="22"/>
        </w:rPr>
      </w:pPr>
    </w:p>
    <w:p w:rsidR="00FF3CD2" w:rsidRPr="0093063F" w:rsidRDefault="000F0E76" w:rsidP="00FF3CD2">
      <w:pPr>
        <w:rPr>
          <w:b/>
          <w:bCs/>
          <w:sz w:val="22"/>
          <w:szCs w:val="22"/>
          <w:u w:val="single"/>
        </w:rPr>
      </w:pPr>
      <w:r w:rsidRPr="0093063F">
        <w:rPr>
          <w:b/>
          <w:bCs/>
          <w:sz w:val="22"/>
          <w:szCs w:val="22"/>
          <w:u w:val="single"/>
        </w:rPr>
        <w:t>CCAP</w:t>
      </w:r>
      <w:r w:rsidR="00FF3CD2" w:rsidRPr="0093063F">
        <w:rPr>
          <w:b/>
          <w:bCs/>
          <w:sz w:val="22"/>
          <w:szCs w:val="22"/>
          <w:u w:val="single"/>
        </w:rPr>
        <w:t xml:space="preserve"> 2022 Priorities Toolkit</w:t>
      </w:r>
      <w:r w:rsidRPr="0093063F">
        <w:rPr>
          <w:b/>
          <w:bCs/>
          <w:sz w:val="22"/>
          <w:szCs w:val="22"/>
          <w:u w:val="single"/>
        </w:rPr>
        <w:t>:</w:t>
      </w:r>
      <w:r w:rsidR="00FF3CD2" w:rsidRPr="0093063F">
        <w:rPr>
          <w:u w:val="single"/>
        </w:rPr>
        <w:t xml:space="preserve"> </w:t>
      </w:r>
    </w:p>
    <w:p w:rsidR="00FF3CD2" w:rsidRPr="0093063F" w:rsidRDefault="00FF3CD2" w:rsidP="000F0E76">
      <w:pPr>
        <w:rPr>
          <w:sz w:val="22"/>
        </w:rPr>
      </w:pPr>
      <w:r w:rsidRPr="0093063F">
        <w:rPr>
          <w:sz w:val="22"/>
        </w:rPr>
        <w:t>Funding and Resources for Elections – Commissioner Amy Webster</w:t>
      </w:r>
    </w:p>
    <w:p w:rsidR="000F0E76" w:rsidRPr="000F0E76" w:rsidRDefault="000F0E76" w:rsidP="000F0E76">
      <w:pPr>
        <w:rPr>
          <w:color w:val="FF0000"/>
          <w:sz w:val="22"/>
        </w:rPr>
      </w:pPr>
    </w:p>
    <w:p w:rsidR="0093063F" w:rsidRDefault="0093063F" w:rsidP="0093063F">
      <w:pPr>
        <w:jc w:val="both"/>
        <w:rPr>
          <w:i/>
          <w:sz w:val="18"/>
          <w:szCs w:val="18"/>
        </w:rPr>
      </w:pPr>
      <w:r>
        <w:rPr>
          <w:i/>
          <w:sz w:val="18"/>
          <w:szCs w:val="18"/>
        </w:rPr>
        <w:t>Counties have always been responsible to conduct elections. It is our goal to provide free, fair, transparent, and accurate elections and results. The changes that have been imposed upon the counties by the higher levels of government have caused a huge drain on the county taxpayers and county resources. The implementation of Act 77 of 2019 has created vast new processes, procedures, and security concerns that the counties have been left to attempt to navigate. These changes have resulted in significant increases in the monetary and personnel costs required of the counties. For example, here are the costs for the Voter Registration and Elections Office for BC:</w:t>
      </w:r>
    </w:p>
    <w:p w:rsidR="0093063F" w:rsidRDefault="0093063F" w:rsidP="0093063F">
      <w:pPr>
        <w:jc w:val="both"/>
        <w:rPr>
          <w:i/>
          <w:sz w:val="18"/>
          <w:szCs w:val="18"/>
        </w:rPr>
      </w:pPr>
    </w:p>
    <w:p w:rsidR="0093063F" w:rsidRDefault="0093063F" w:rsidP="0093063F">
      <w:pPr>
        <w:jc w:val="both"/>
        <w:rPr>
          <w:i/>
          <w:sz w:val="18"/>
          <w:szCs w:val="18"/>
        </w:rPr>
      </w:pPr>
      <w:r>
        <w:rPr>
          <w:i/>
          <w:sz w:val="18"/>
          <w:szCs w:val="18"/>
        </w:rPr>
        <w:tab/>
        <w:t>2018 election office costs @$355,000</w:t>
      </w:r>
    </w:p>
    <w:p w:rsidR="0093063F" w:rsidRDefault="0093063F" w:rsidP="0093063F">
      <w:pPr>
        <w:jc w:val="both"/>
        <w:rPr>
          <w:i/>
          <w:sz w:val="18"/>
          <w:szCs w:val="18"/>
        </w:rPr>
      </w:pPr>
      <w:r>
        <w:rPr>
          <w:i/>
          <w:sz w:val="18"/>
          <w:szCs w:val="18"/>
        </w:rPr>
        <w:tab/>
        <w:t>2019 election office costs @$340,000 (after grant towards cost of machines)</w:t>
      </w:r>
    </w:p>
    <w:p w:rsidR="0093063F" w:rsidRDefault="0093063F" w:rsidP="0093063F">
      <w:pPr>
        <w:jc w:val="both"/>
        <w:rPr>
          <w:i/>
          <w:sz w:val="18"/>
          <w:szCs w:val="18"/>
        </w:rPr>
      </w:pPr>
      <w:r>
        <w:rPr>
          <w:i/>
          <w:sz w:val="18"/>
          <w:szCs w:val="18"/>
        </w:rPr>
        <w:tab/>
        <w:t>2020 (1</w:t>
      </w:r>
      <w:r>
        <w:rPr>
          <w:i/>
          <w:sz w:val="18"/>
          <w:szCs w:val="18"/>
          <w:vertAlign w:val="superscript"/>
        </w:rPr>
        <w:t>st</w:t>
      </w:r>
      <w:r>
        <w:rPr>
          <w:i/>
          <w:sz w:val="18"/>
          <w:szCs w:val="18"/>
        </w:rPr>
        <w:t xml:space="preserve"> year of Act 77 mail-in) @$570,000</w:t>
      </w:r>
    </w:p>
    <w:p w:rsidR="0093063F" w:rsidRDefault="0093063F" w:rsidP="0093063F">
      <w:pPr>
        <w:jc w:val="both"/>
        <w:rPr>
          <w:i/>
          <w:sz w:val="18"/>
          <w:szCs w:val="18"/>
        </w:rPr>
      </w:pPr>
      <w:r>
        <w:rPr>
          <w:i/>
          <w:sz w:val="18"/>
          <w:szCs w:val="18"/>
        </w:rPr>
        <w:tab/>
        <w:t>2021 (with a recount in November) @$645,000</w:t>
      </w:r>
    </w:p>
    <w:p w:rsidR="0093063F" w:rsidRDefault="0093063F" w:rsidP="0093063F">
      <w:pPr>
        <w:jc w:val="both"/>
        <w:rPr>
          <w:i/>
          <w:sz w:val="18"/>
          <w:szCs w:val="18"/>
        </w:rPr>
      </w:pPr>
      <w:r>
        <w:rPr>
          <w:i/>
          <w:sz w:val="18"/>
          <w:szCs w:val="18"/>
        </w:rPr>
        <w:tab/>
        <w:t>2022 projected costs @$885,000; more than double the cost in 2018</w:t>
      </w:r>
    </w:p>
    <w:p w:rsidR="0093063F" w:rsidRDefault="0093063F" w:rsidP="0093063F">
      <w:pPr>
        <w:jc w:val="both"/>
        <w:rPr>
          <w:i/>
          <w:sz w:val="18"/>
          <w:szCs w:val="18"/>
        </w:rPr>
      </w:pPr>
    </w:p>
    <w:p w:rsidR="0093063F" w:rsidRDefault="0093063F" w:rsidP="0093063F">
      <w:pPr>
        <w:jc w:val="both"/>
        <w:rPr>
          <w:i/>
          <w:sz w:val="18"/>
          <w:szCs w:val="18"/>
        </w:rPr>
      </w:pPr>
      <w:r>
        <w:rPr>
          <w:i/>
          <w:sz w:val="18"/>
          <w:szCs w:val="18"/>
        </w:rPr>
        <w:t>These are costs that are beyond the control of the commissioners of the PA counties, because they are mandated by the Commonwealth. With the implementation of Act 77, now every Pennsylvanian can vote by mail and register up to almost the last minute. The costs to accommodate all of this has skyrocketed the financial burden of the Voter &amp; Elections Office. Mail-in voting requires additional personnel, overtime costs for employees of the elections and highway departments, extra training and time for the poll workers, extra paper and envelopes, new equipment, the cost of postage, additional time for processing, and more. With the exception of the extra postage costs in 2020, all of those costs fell to the counties and ultimately, upon the taxpayers.</w:t>
      </w:r>
    </w:p>
    <w:p w:rsidR="0093063F" w:rsidRDefault="0093063F" w:rsidP="0093063F">
      <w:pPr>
        <w:jc w:val="both"/>
        <w:rPr>
          <w:i/>
          <w:sz w:val="18"/>
          <w:szCs w:val="18"/>
        </w:rPr>
      </w:pPr>
    </w:p>
    <w:p w:rsidR="0093063F" w:rsidRDefault="0093063F" w:rsidP="0093063F">
      <w:pPr>
        <w:jc w:val="both"/>
        <w:rPr>
          <w:i/>
          <w:sz w:val="18"/>
          <w:szCs w:val="18"/>
        </w:rPr>
      </w:pPr>
      <w:r>
        <w:rPr>
          <w:i/>
          <w:sz w:val="18"/>
          <w:szCs w:val="18"/>
        </w:rPr>
        <w:t xml:space="preserve">The effects of and costs for Act 77 and its implementation apparently were not foreseen. There was confusion and inconsistency throughout PA, leaving voters with unanswered questions and concerns, which we discussed previously. </w:t>
      </w:r>
    </w:p>
    <w:p w:rsidR="0093063F" w:rsidRDefault="0093063F" w:rsidP="0093063F">
      <w:pPr>
        <w:jc w:val="both"/>
        <w:rPr>
          <w:i/>
          <w:sz w:val="18"/>
          <w:szCs w:val="18"/>
        </w:rPr>
      </w:pPr>
    </w:p>
    <w:p w:rsidR="0093063F" w:rsidRDefault="0093063F" w:rsidP="0093063F">
      <w:pPr>
        <w:jc w:val="both"/>
        <w:rPr>
          <w:i/>
          <w:sz w:val="18"/>
          <w:szCs w:val="18"/>
        </w:rPr>
      </w:pPr>
      <w:r>
        <w:rPr>
          <w:i/>
          <w:sz w:val="18"/>
          <w:szCs w:val="18"/>
        </w:rPr>
        <w:t xml:space="preserve">Pennsylvania is in the process of implementing a new </w:t>
      </w:r>
      <w:proofErr w:type="spellStart"/>
      <w:r>
        <w:rPr>
          <w:i/>
          <w:sz w:val="18"/>
          <w:szCs w:val="18"/>
        </w:rPr>
        <w:t>SUREVote</w:t>
      </w:r>
      <w:proofErr w:type="spellEnd"/>
      <w:r>
        <w:rPr>
          <w:i/>
          <w:sz w:val="18"/>
          <w:szCs w:val="18"/>
        </w:rPr>
        <w:t xml:space="preserve"> system. This will require updated equipment costs, programming, and training. Blair County has filed an application for funds from the Election Security Grant, but there is no guarantee that we will receive funds or that the funds will cover this mandate from the state. </w:t>
      </w:r>
    </w:p>
    <w:p w:rsidR="0093063F" w:rsidRDefault="0093063F" w:rsidP="0093063F">
      <w:pPr>
        <w:jc w:val="both"/>
        <w:rPr>
          <w:i/>
          <w:sz w:val="18"/>
          <w:szCs w:val="18"/>
        </w:rPr>
      </w:pPr>
    </w:p>
    <w:p w:rsidR="0093063F" w:rsidRDefault="0093063F" w:rsidP="0093063F">
      <w:pPr>
        <w:jc w:val="both"/>
        <w:rPr>
          <w:i/>
          <w:sz w:val="18"/>
          <w:szCs w:val="18"/>
        </w:rPr>
      </w:pPr>
      <w:r>
        <w:rPr>
          <w:i/>
          <w:sz w:val="18"/>
          <w:szCs w:val="18"/>
        </w:rPr>
        <w:t xml:space="preserve">Although CCAP and many of PA’s County Commissioners have requested help from the state, it is unknown whether appropriate financial resources will be budgeted to address the enormous cost increases in handling elections. CCAP continues to promote awareness within the state government of the extreme challenges that the counties have faced, and will continue to face in the future. Failure of the state to make additional allocations for county elections would be a huge oversight that will continue to increase the costs to the counties and to our taxpayers. </w:t>
      </w:r>
    </w:p>
    <w:p w:rsidR="0093063F" w:rsidRDefault="0093063F" w:rsidP="0093063F">
      <w:pPr>
        <w:jc w:val="both"/>
        <w:rPr>
          <w:i/>
          <w:sz w:val="18"/>
          <w:szCs w:val="18"/>
        </w:rPr>
      </w:pPr>
    </w:p>
    <w:p w:rsidR="0093063F" w:rsidRDefault="0093063F" w:rsidP="0093063F">
      <w:pPr>
        <w:jc w:val="both"/>
        <w:rPr>
          <w:i/>
          <w:sz w:val="18"/>
          <w:szCs w:val="18"/>
        </w:rPr>
      </w:pPr>
      <w:r>
        <w:rPr>
          <w:i/>
          <w:sz w:val="18"/>
          <w:szCs w:val="18"/>
        </w:rPr>
        <w:t>To avoid the financial drain that counties have experienced since 2020, CCAP member counties request the following from the Commonwealth:</w:t>
      </w:r>
    </w:p>
    <w:p w:rsidR="0093063F" w:rsidRDefault="0093063F" w:rsidP="0093063F">
      <w:pPr>
        <w:jc w:val="both"/>
        <w:rPr>
          <w:i/>
          <w:sz w:val="18"/>
          <w:szCs w:val="18"/>
        </w:rPr>
      </w:pPr>
    </w:p>
    <w:p w:rsidR="0093063F" w:rsidRDefault="0093063F" w:rsidP="0093063F">
      <w:pPr>
        <w:ind w:left="720"/>
        <w:jc w:val="both"/>
        <w:rPr>
          <w:i/>
          <w:sz w:val="18"/>
          <w:szCs w:val="18"/>
        </w:rPr>
      </w:pPr>
      <w:r>
        <w:rPr>
          <w:i/>
          <w:sz w:val="18"/>
          <w:szCs w:val="18"/>
        </w:rPr>
        <w:t>Ensure appropriate financial resources are allocated from the state to the counties to support changes in procedures, requirements, and equipment</w:t>
      </w:r>
    </w:p>
    <w:p w:rsidR="0093063F" w:rsidRDefault="0093063F" w:rsidP="0093063F">
      <w:pPr>
        <w:ind w:left="720"/>
        <w:jc w:val="both"/>
        <w:rPr>
          <w:i/>
          <w:sz w:val="18"/>
          <w:szCs w:val="18"/>
        </w:rPr>
      </w:pPr>
    </w:p>
    <w:p w:rsidR="0093063F" w:rsidRDefault="0093063F" w:rsidP="0093063F">
      <w:pPr>
        <w:ind w:left="720"/>
        <w:jc w:val="both"/>
        <w:rPr>
          <w:i/>
          <w:sz w:val="18"/>
          <w:szCs w:val="18"/>
        </w:rPr>
      </w:pPr>
      <w:r>
        <w:rPr>
          <w:i/>
          <w:sz w:val="18"/>
          <w:szCs w:val="18"/>
        </w:rPr>
        <w:t xml:space="preserve">Allocate sufficient time, in consultation with counties, to implement any new requirements, training, and procedures for the election administration </w:t>
      </w:r>
    </w:p>
    <w:p w:rsidR="0093063F" w:rsidRDefault="0093063F" w:rsidP="0093063F">
      <w:pPr>
        <w:ind w:left="720"/>
        <w:jc w:val="both"/>
        <w:rPr>
          <w:i/>
          <w:sz w:val="18"/>
          <w:szCs w:val="18"/>
        </w:rPr>
      </w:pPr>
    </w:p>
    <w:p w:rsidR="0093063F" w:rsidRDefault="0093063F" w:rsidP="0093063F">
      <w:pPr>
        <w:ind w:left="720"/>
        <w:jc w:val="both"/>
        <w:rPr>
          <w:i/>
          <w:sz w:val="18"/>
          <w:szCs w:val="18"/>
        </w:rPr>
      </w:pPr>
      <w:r>
        <w:rPr>
          <w:i/>
          <w:sz w:val="18"/>
          <w:szCs w:val="18"/>
        </w:rPr>
        <w:t>Support county staff in recruitment and retention, by establishing reasonable workload expectations with new laws and policies, for efficient and effective election operations</w:t>
      </w:r>
    </w:p>
    <w:p w:rsidR="0093063F" w:rsidRDefault="0093063F" w:rsidP="0093063F">
      <w:pPr>
        <w:ind w:left="720"/>
        <w:jc w:val="both"/>
        <w:rPr>
          <w:i/>
          <w:sz w:val="18"/>
          <w:szCs w:val="18"/>
        </w:rPr>
      </w:pPr>
    </w:p>
    <w:p w:rsidR="0093063F" w:rsidRDefault="0093063F" w:rsidP="0093063F">
      <w:pPr>
        <w:ind w:left="720"/>
        <w:jc w:val="both"/>
        <w:rPr>
          <w:i/>
          <w:sz w:val="18"/>
          <w:szCs w:val="18"/>
        </w:rPr>
      </w:pPr>
      <w:r>
        <w:rPr>
          <w:i/>
          <w:sz w:val="18"/>
          <w:szCs w:val="18"/>
        </w:rPr>
        <w:t>Blair County’s election office costs have more than doubled since 2018. This is not a sustainable expense. The state must be mindful to reduce its expectations or provide for these financial, procedural, and equipment costs.</w:t>
      </w:r>
    </w:p>
    <w:p w:rsidR="0093063F" w:rsidRDefault="0093063F" w:rsidP="0093063F">
      <w:pPr>
        <w:jc w:val="both"/>
        <w:rPr>
          <w:i/>
          <w:sz w:val="18"/>
          <w:szCs w:val="18"/>
        </w:rPr>
      </w:pPr>
    </w:p>
    <w:p w:rsidR="0093063F" w:rsidRDefault="0093063F" w:rsidP="0093063F">
      <w:pPr>
        <w:jc w:val="both"/>
        <w:rPr>
          <w:i/>
          <w:sz w:val="18"/>
          <w:szCs w:val="18"/>
        </w:rPr>
      </w:pPr>
    </w:p>
    <w:p w:rsidR="0093063F" w:rsidRDefault="0093063F" w:rsidP="0093063F">
      <w:pPr>
        <w:jc w:val="both"/>
        <w:rPr>
          <w:i/>
          <w:sz w:val="18"/>
          <w:szCs w:val="18"/>
        </w:rPr>
      </w:pPr>
      <w:bookmarkStart w:id="0" w:name="_GoBack"/>
      <w:bookmarkEnd w:id="0"/>
    </w:p>
    <w:p w:rsidR="00FF3CD2" w:rsidRPr="00C90C95" w:rsidRDefault="00FF3CD2" w:rsidP="00FF3CD2">
      <w:pPr>
        <w:rPr>
          <w:b/>
          <w:bCs/>
          <w:sz w:val="22"/>
          <w:szCs w:val="22"/>
        </w:rPr>
      </w:pPr>
    </w:p>
    <w:p w:rsidR="00FF3CD2" w:rsidRPr="00474E4A" w:rsidRDefault="00474E4A" w:rsidP="00474E4A">
      <w:pPr>
        <w:rPr>
          <w:b/>
          <w:bCs/>
          <w:sz w:val="22"/>
          <w:szCs w:val="22"/>
          <w:u w:val="single"/>
        </w:rPr>
      </w:pPr>
      <w:r w:rsidRPr="00474E4A">
        <w:rPr>
          <w:b/>
          <w:bCs/>
          <w:sz w:val="22"/>
          <w:szCs w:val="22"/>
          <w:u w:val="single"/>
        </w:rPr>
        <w:t>Unfinished Business:</w:t>
      </w:r>
    </w:p>
    <w:p w:rsidR="00FF3CD2" w:rsidRPr="00C90C95" w:rsidRDefault="00FF3CD2" w:rsidP="00474E4A">
      <w:pPr>
        <w:rPr>
          <w:b/>
          <w:bCs/>
          <w:sz w:val="22"/>
          <w:szCs w:val="22"/>
          <w:u w:val="single"/>
        </w:rPr>
      </w:pPr>
      <w:r w:rsidRPr="00C90C95">
        <w:rPr>
          <w:b/>
          <w:bCs/>
          <w:sz w:val="22"/>
          <w:szCs w:val="22"/>
          <w:u w:val="single"/>
        </w:rPr>
        <w:t>Adoption of Resolutions:</w:t>
      </w:r>
    </w:p>
    <w:p w:rsidR="00FF3CD2" w:rsidRDefault="00FF3CD2" w:rsidP="00474E4A">
      <w:pPr>
        <w:rPr>
          <w:bCs/>
          <w:sz w:val="22"/>
          <w:szCs w:val="22"/>
        </w:rPr>
      </w:pPr>
      <w:r w:rsidRPr="00CB258C">
        <w:rPr>
          <w:b/>
          <w:bCs/>
          <w:sz w:val="22"/>
          <w:szCs w:val="22"/>
          <w:u w:val="single"/>
        </w:rPr>
        <w:t>Resolution 244-2022</w:t>
      </w:r>
      <w:r w:rsidRPr="00CB258C">
        <w:rPr>
          <w:b/>
          <w:bCs/>
          <w:sz w:val="22"/>
          <w:szCs w:val="22"/>
        </w:rPr>
        <w:t xml:space="preserve"> – </w:t>
      </w:r>
      <w:r w:rsidRPr="00CB258C">
        <w:rPr>
          <w:bCs/>
          <w:sz w:val="22"/>
          <w:szCs w:val="22"/>
        </w:rPr>
        <w:t>A resolution approving the FY 22/23 Provision of Single County Authority (SCA) Functions Agreement between the County of Blair and Blair County Drug and Alcohol for the period of July 1, 2022 through June 30, 2023.</w:t>
      </w:r>
    </w:p>
    <w:p w:rsidR="00474E4A" w:rsidRDefault="00474E4A" w:rsidP="00474E4A">
      <w:pPr>
        <w:rPr>
          <w:bCs/>
          <w:sz w:val="22"/>
          <w:szCs w:val="22"/>
        </w:rPr>
      </w:pPr>
    </w:p>
    <w:p w:rsidR="00474E4A" w:rsidRPr="00CB258C" w:rsidRDefault="00474E4A" w:rsidP="00474E4A">
      <w:pPr>
        <w:rPr>
          <w:bCs/>
          <w:sz w:val="22"/>
          <w:szCs w:val="22"/>
        </w:rPr>
      </w:pPr>
      <w:r>
        <w:rPr>
          <w:bCs/>
          <w:sz w:val="22"/>
          <w:szCs w:val="22"/>
        </w:rPr>
        <w:tab/>
        <w:t>Motion by Commissioner Erb, seconded by Commissioner Webster and unanimously approved to adopt Resolution 244-2022.</w:t>
      </w:r>
    </w:p>
    <w:p w:rsidR="00FF3CD2" w:rsidRDefault="00FF3CD2" w:rsidP="00474E4A">
      <w:pPr>
        <w:rPr>
          <w:bCs/>
          <w:sz w:val="22"/>
          <w:szCs w:val="22"/>
        </w:rPr>
      </w:pPr>
    </w:p>
    <w:p w:rsidR="00FF3CD2" w:rsidRDefault="00FF3CD2" w:rsidP="00474E4A">
      <w:pPr>
        <w:rPr>
          <w:bCs/>
          <w:sz w:val="22"/>
          <w:szCs w:val="22"/>
        </w:rPr>
      </w:pPr>
      <w:r w:rsidRPr="00CB258C">
        <w:rPr>
          <w:b/>
          <w:bCs/>
          <w:sz w:val="22"/>
          <w:szCs w:val="22"/>
          <w:u w:val="single"/>
        </w:rPr>
        <w:t>Resolution 245</w:t>
      </w:r>
      <w:r>
        <w:rPr>
          <w:b/>
          <w:bCs/>
          <w:sz w:val="22"/>
          <w:szCs w:val="22"/>
          <w:u w:val="single"/>
        </w:rPr>
        <w:t>-2022</w:t>
      </w:r>
      <w:r w:rsidRPr="00CB258C">
        <w:rPr>
          <w:bCs/>
          <w:sz w:val="22"/>
          <w:szCs w:val="22"/>
        </w:rPr>
        <w:t xml:space="preserve"> -- A resolution approving the acceptance of a Conditional Award of Funds from the Pennsylvania Housing Finance Authority (PHFA) through the Pennsylvania Housing Affordability and Rehabilitation Enhancement (PHARE) Fund authorized under Act 10 of 2010 and the Realty Transfer Tax (PHARE/RT), in the amount of $100,000.00, to support the Blair County Water and Sewer Program.</w:t>
      </w:r>
    </w:p>
    <w:p w:rsidR="00474E4A" w:rsidRDefault="00474E4A" w:rsidP="00474E4A">
      <w:pPr>
        <w:rPr>
          <w:bCs/>
          <w:sz w:val="22"/>
          <w:szCs w:val="22"/>
        </w:rPr>
      </w:pPr>
    </w:p>
    <w:p w:rsidR="00474E4A" w:rsidRPr="00CB258C" w:rsidRDefault="00474E4A" w:rsidP="00474E4A">
      <w:pPr>
        <w:rPr>
          <w:bCs/>
          <w:sz w:val="22"/>
          <w:szCs w:val="22"/>
        </w:rPr>
      </w:pPr>
      <w:r>
        <w:rPr>
          <w:bCs/>
          <w:sz w:val="22"/>
          <w:szCs w:val="22"/>
        </w:rPr>
        <w:tab/>
        <w:t>Motion by Commissioner Erb, seconded by Commissioner Webster and unanimously approved to adopt Resolution 245-2022.</w:t>
      </w:r>
    </w:p>
    <w:p w:rsidR="00FF3CD2" w:rsidRPr="00C90C95" w:rsidRDefault="00FF3CD2" w:rsidP="00474E4A">
      <w:pPr>
        <w:rPr>
          <w:bCs/>
          <w:sz w:val="22"/>
          <w:szCs w:val="22"/>
        </w:rPr>
      </w:pPr>
    </w:p>
    <w:p w:rsidR="00FF3CD2" w:rsidRDefault="00FF3CD2" w:rsidP="00474E4A">
      <w:pPr>
        <w:rPr>
          <w:bCs/>
          <w:sz w:val="22"/>
          <w:szCs w:val="22"/>
        </w:rPr>
      </w:pPr>
      <w:r w:rsidRPr="00CB258C">
        <w:rPr>
          <w:b/>
          <w:bCs/>
          <w:sz w:val="22"/>
          <w:szCs w:val="22"/>
          <w:u w:val="single"/>
        </w:rPr>
        <w:t>Resolution 246-2022</w:t>
      </w:r>
      <w:r w:rsidRPr="00CB258C">
        <w:rPr>
          <w:bCs/>
          <w:sz w:val="22"/>
          <w:szCs w:val="22"/>
        </w:rPr>
        <w:t xml:space="preserve"> – A resolution approving the participation in the Administrative Office of the Pennsylvania Courts (AOPC) Office of Children and Families in the Courts/ Dependency Court Improvement Program, COVID-19 Reimbursement Project, with full cost being covered by the AOPC.</w:t>
      </w:r>
    </w:p>
    <w:p w:rsidR="00474E4A" w:rsidRDefault="00474E4A" w:rsidP="00474E4A">
      <w:pPr>
        <w:rPr>
          <w:bCs/>
          <w:sz w:val="22"/>
          <w:szCs w:val="22"/>
        </w:rPr>
      </w:pPr>
    </w:p>
    <w:p w:rsidR="00474E4A" w:rsidRPr="00CB258C" w:rsidRDefault="00474E4A" w:rsidP="00474E4A">
      <w:pPr>
        <w:rPr>
          <w:bCs/>
          <w:sz w:val="22"/>
          <w:szCs w:val="22"/>
        </w:rPr>
      </w:pPr>
      <w:r>
        <w:rPr>
          <w:bCs/>
          <w:sz w:val="22"/>
          <w:szCs w:val="22"/>
        </w:rPr>
        <w:tab/>
        <w:t>Motion by Commissioner Burke, seconded by Commissioner Webster and unanimously approved to adopt Resolution 246-2022.</w:t>
      </w:r>
    </w:p>
    <w:p w:rsidR="00FF3CD2" w:rsidRPr="00C90C95" w:rsidRDefault="00FF3CD2" w:rsidP="00474E4A">
      <w:pPr>
        <w:rPr>
          <w:bCs/>
          <w:sz w:val="22"/>
          <w:szCs w:val="22"/>
        </w:rPr>
      </w:pPr>
    </w:p>
    <w:p w:rsidR="00FF3CD2" w:rsidRDefault="00FF3CD2" w:rsidP="00474E4A">
      <w:pPr>
        <w:rPr>
          <w:bCs/>
          <w:sz w:val="22"/>
          <w:szCs w:val="22"/>
        </w:rPr>
      </w:pPr>
      <w:r w:rsidRPr="002B612D">
        <w:rPr>
          <w:b/>
          <w:bCs/>
          <w:sz w:val="22"/>
          <w:szCs w:val="22"/>
          <w:u w:val="single"/>
        </w:rPr>
        <w:t>Resolution 247-2022</w:t>
      </w:r>
      <w:r w:rsidRPr="002B612D">
        <w:rPr>
          <w:bCs/>
          <w:sz w:val="22"/>
          <w:szCs w:val="22"/>
        </w:rPr>
        <w:t xml:space="preserve"> – A resolution approving the acceptance of an allocation of funding under the Promoting Safe and Stable Families Caseworker Visitation Program under Title IV-B of the Social Security Act, (42 U.S.C §§ 629-629i), in the total amount of $4,505.00, for the period of 10/01/21 through 09/30/22.</w:t>
      </w:r>
    </w:p>
    <w:p w:rsidR="00474E4A" w:rsidRDefault="00474E4A" w:rsidP="00474E4A">
      <w:pPr>
        <w:rPr>
          <w:bCs/>
          <w:sz w:val="22"/>
          <w:szCs w:val="22"/>
        </w:rPr>
      </w:pPr>
    </w:p>
    <w:p w:rsidR="00474E4A" w:rsidRPr="002B612D" w:rsidRDefault="00474E4A" w:rsidP="00474E4A">
      <w:pPr>
        <w:rPr>
          <w:bCs/>
          <w:sz w:val="22"/>
          <w:szCs w:val="22"/>
        </w:rPr>
      </w:pPr>
      <w:r>
        <w:rPr>
          <w:bCs/>
          <w:sz w:val="22"/>
          <w:szCs w:val="22"/>
        </w:rPr>
        <w:tab/>
        <w:t>Motion by Commissioner Burke, seconded by Commissioner Webster and unanimously approved to adopt Resolution 247-2022.</w:t>
      </w:r>
    </w:p>
    <w:p w:rsidR="00FF3CD2" w:rsidRDefault="00FF3CD2" w:rsidP="00474E4A">
      <w:pPr>
        <w:rPr>
          <w:bCs/>
          <w:sz w:val="22"/>
          <w:szCs w:val="22"/>
        </w:rPr>
      </w:pPr>
    </w:p>
    <w:p w:rsidR="00FF3CD2" w:rsidRDefault="00FF3CD2" w:rsidP="00474E4A">
      <w:pPr>
        <w:rPr>
          <w:bCs/>
          <w:sz w:val="22"/>
          <w:szCs w:val="22"/>
        </w:rPr>
      </w:pPr>
      <w:r w:rsidRPr="002B612D">
        <w:rPr>
          <w:b/>
          <w:bCs/>
          <w:sz w:val="22"/>
          <w:szCs w:val="22"/>
          <w:u w:val="single"/>
        </w:rPr>
        <w:t xml:space="preserve">Resolution 248-2022 </w:t>
      </w:r>
      <w:r w:rsidRPr="002B612D">
        <w:rPr>
          <w:bCs/>
          <w:sz w:val="22"/>
          <w:szCs w:val="22"/>
        </w:rPr>
        <w:t>– A resolution approving the submission of a Letter of Support of an application to the PA Department of Community and Economic Development (DCED) and/or PennDOT by the Borough of Hollidaysburg for Multimodal Transportation Fund Program (MTFP) for grant funding for the Canal Basin project.</w:t>
      </w:r>
    </w:p>
    <w:p w:rsidR="00474E4A" w:rsidRDefault="00474E4A" w:rsidP="00474E4A">
      <w:pPr>
        <w:rPr>
          <w:bCs/>
          <w:sz w:val="22"/>
          <w:szCs w:val="22"/>
        </w:rPr>
      </w:pPr>
    </w:p>
    <w:p w:rsidR="00474E4A" w:rsidRPr="002B612D" w:rsidRDefault="00474E4A" w:rsidP="00474E4A">
      <w:pPr>
        <w:rPr>
          <w:bCs/>
          <w:sz w:val="22"/>
          <w:szCs w:val="22"/>
        </w:rPr>
      </w:pPr>
      <w:r>
        <w:rPr>
          <w:bCs/>
          <w:sz w:val="22"/>
          <w:szCs w:val="22"/>
        </w:rPr>
        <w:tab/>
        <w:t>Motion by Commissioner Erb, seconded by Commissioner Burke and unanimously approved to adopt Resolution 248-2022.</w:t>
      </w:r>
    </w:p>
    <w:p w:rsidR="00FF3CD2" w:rsidRPr="00C90C95" w:rsidRDefault="00FF3CD2" w:rsidP="00FF3CD2">
      <w:pPr>
        <w:rPr>
          <w:bCs/>
          <w:sz w:val="22"/>
          <w:szCs w:val="22"/>
        </w:rPr>
      </w:pPr>
      <w:r w:rsidRPr="007B2236">
        <w:rPr>
          <w:bCs/>
        </w:rPr>
        <w:tab/>
      </w:r>
      <w:r w:rsidRPr="007B2236">
        <w:rPr>
          <w:bCs/>
        </w:rPr>
        <w:tab/>
      </w:r>
    </w:p>
    <w:p w:rsidR="00FF3CD2" w:rsidRPr="005F5064" w:rsidRDefault="005F5064" w:rsidP="005F5064">
      <w:pPr>
        <w:rPr>
          <w:b/>
          <w:bCs/>
          <w:sz w:val="22"/>
          <w:szCs w:val="22"/>
          <w:u w:val="single"/>
        </w:rPr>
      </w:pPr>
      <w:r w:rsidRPr="005F5064">
        <w:rPr>
          <w:b/>
          <w:bCs/>
          <w:sz w:val="22"/>
          <w:szCs w:val="22"/>
          <w:u w:val="single"/>
        </w:rPr>
        <w:t>Old Business</w:t>
      </w:r>
    </w:p>
    <w:p w:rsidR="00FF3CD2" w:rsidRPr="005F5064" w:rsidRDefault="00FF3CD2" w:rsidP="005F5064">
      <w:pPr>
        <w:rPr>
          <w:bCs/>
          <w:sz w:val="22"/>
          <w:szCs w:val="22"/>
        </w:rPr>
      </w:pPr>
      <w:r w:rsidRPr="005F5064">
        <w:rPr>
          <w:b/>
          <w:bCs/>
          <w:sz w:val="22"/>
          <w:szCs w:val="22"/>
          <w:u w:val="single"/>
        </w:rPr>
        <w:t>Natural Gas Pricing:</w:t>
      </w:r>
      <w:r w:rsidRPr="005F5064">
        <w:rPr>
          <w:bCs/>
          <w:sz w:val="22"/>
          <w:szCs w:val="22"/>
        </w:rPr>
        <w:t xml:space="preserve">  </w:t>
      </w:r>
    </w:p>
    <w:p w:rsidR="00FF3CD2" w:rsidRPr="00C90C95" w:rsidRDefault="00FF3CD2" w:rsidP="005F5064">
      <w:pPr>
        <w:rPr>
          <w:sz w:val="22"/>
          <w:szCs w:val="22"/>
        </w:rPr>
      </w:pPr>
      <w:r w:rsidRPr="00C90C95">
        <w:rPr>
          <w:sz w:val="22"/>
          <w:szCs w:val="22"/>
        </w:rPr>
        <w:t>Continued discussion concerning contract options, pricing and recommendations for the county’s Natural Gas Suppliers.  </w:t>
      </w:r>
    </w:p>
    <w:p w:rsidR="00FF3CD2" w:rsidRPr="00C90C95" w:rsidRDefault="00FF3CD2" w:rsidP="00FF3CD2">
      <w:pPr>
        <w:ind w:left="1080"/>
        <w:rPr>
          <w:sz w:val="22"/>
          <w:szCs w:val="22"/>
        </w:rPr>
      </w:pPr>
      <w:r w:rsidRPr="00C90C95">
        <w:rPr>
          <w:sz w:val="22"/>
          <w:szCs w:val="22"/>
        </w:rPr>
        <w:t> </w:t>
      </w:r>
    </w:p>
    <w:p w:rsidR="00FF3CD2" w:rsidRPr="00C90C95" w:rsidRDefault="00FF3CD2" w:rsidP="00FF3CD2">
      <w:pPr>
        <w:ind w:left="1080"/>
        <w:jc w:val="center"/>
        <w:rPr>
          <w:b/>
          <w:bCs/>
          <w:sz w:val="22"/>
          <w:szCs w:val="22"/>
        </w:rPr>
      </w:pPr>
      <w:r w:rsidRPr="00C90C95">
        <w:rPr>
          <w:b/>
          <w:sz w:val="22"/>
          <w:szCs w:val="22"/>
        </w:rPr>
        <w:t>Current 2.813 blended rate</w:t>
      </w:r>
    </w:p>
    <w:p w:rsidR="00FF3CD2" w:rsidRPr="00C90C95" w:rsidRDefault="00FF3CD2" w:rsidP="00FF3CD2">
      <w:pPr>
        <w:rPr>
          <w:b/>
          <w:bCs/>
          <w:sz w:val="22"/>
          <w:szCs w:val="22"/>
        </w:rPr>
      </w:pPr>
    </w:p>
    <w:tbl>
      <w:tblPr>
        <w:tblpPr w:leftFromText="171" w:rightFromText="171" w:vertAnchor="text" w:horzAnchor="margin" w:tblpXSpec="right" w:tblpY="63"/>
        <w:tblW w:w="8710" w:type="dxa"/>
        <w:tblCellMar>
          <w:left w:w="0" w:type="dxa"/>
          <w:right w:w="0" w:type="dxa"/>
        </w:tblCellMar>
        <w:tblLook w:val="04A0" w:firstRow="1" w:lastRow="0" w:firstColumn="1" w:lastColumn="0" w:noHBand="0" w:noVBand="1"/>
      </w:tblPr>
      <w:tblGrid>
        <w:gridCol w:w="1620"/>
        <w:gridCol w:w="2070"/>
        <w:gridCol w:w="1830"/>
        <w:gridCol w:w="1595"/>
        <w:gridCol w:w="1595"/>
      </w:tblGrid>
      <w:tr w:rsidR="00FF3CD2" w:rsidRPr="00C90C95" w:rsidTr="00121570">
        <w:trPr>
          <w:trHeight w:val="224"/>
        </w:trPr>
        <w:tc>
          <w:tcPr>
            <w:tcW w:w="1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F3CD2" w:rsidRPr="00C90C95" w:rsidRDefault="00FF3CD2" w:rsidP="00121570">
            <w:pPr>
              <w:spacing w:line="252" w:lineRule="auto"/>
              <w:jc w:val="center"/>
              <w:rPr>
                <w:b/>
                <w:bCs/>
                <w:sz w:val="16"/>
                <w:szCs w:val="16"/>
              </w:rPr>
            </w:pPr>
            <w:r w:rsidRPr="00C90C95">
              <w:rPr>
                <w:b/>
                <w:bCs/>
                <w:sz w:val="16"/>
                <w:szCs w:val="16"/>
              </w:rPr>
              <w:t>Contract Term</w:t>
            </w:r>
          </w:p>
        </w:tc>
        <w:tc>
          <w:tcPr>
            <w:tcW w:w="20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F3CD2" w:rsidRPr="00C90C95" w:rsidRDefault="00FF3CD2" w:rsidP="00121570">
            <w:pPr>
              <w:spacing w:line="252" w:lineRule="auto"/>
              <w:jc w:val="center"/>
              <w:rPr>
                <w:b/>
                <w:sz w:val="16"/>
                <w:szCs w:val="16"/>
              </w:rPr>
            </w:pPr>
            <w:r w:rsidRPr="00C90C95">
              <w:rPr>
                <w:b/>
                <w:sz w:val="16"/>
                <w:szCs w:val="16"/>
              </w:rPr>
              <w:t>05/25/22</w:t>
            </w:r>
          </w:p>
        </w:tc>
        <w:tc>
          <w:tcPr>
            <w:tcW w:w="18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F3CD2" w:rsidRPr="00C90C95" w:rsidRDefault="00FF3CD2" w:rsidP="00121570">
            <w:pPr>
              <w:spacing w:line="252" w:lineRule="auto"/>
              <w:jc w:val="center"/>
              <w:rPr>
                <w:b/>
                <w:sz w:val="16"/>
                <w:szCs w:val="16"/>
              </w:rPr>
            </w:pPr>
            <w:r w:rsidRPr="00C90C95">
              <w:rPr>
                <w:b/>
                <w:sz w:val="16"/>
                <w:szCs w:val="16"/>
              </w:rPr>
              <w:t>06/21/22</w:t>
            </w:r>
          </w:p>
        </w:tc>
        <w:tc>
          <w:tcPr>
            <w:tcW w:w="1595" w:type="dxa"/>
            <w:tcBorders>
              <w:top w:val="single" w:sz="4" w:space="0" w:color="auto"/>
              <w:left w:val="single" w:sz="4" w:space="0" w:color="auto"/>
              <w:bottom w:val="single" w:sz="4" w:space="0" w:color="auto"/>
              <w:right w:val="single" w:sz="4" w:space="0" w:color="auto"/>
            </w:tcBorders>
          </w:tcPr>
          <w:p w:rsidR="00FF3CD2" w:rsidRPr="00C90C95" w:rsidRDefault="00FF3CD2" w:rsidP="00121570">
            <w:pPr>
              <w:spacing w:line="252" w:lineRule="auto"/>
              <w:jc w:val="center"/>
              <w:rPr>
                <w:b/>
                <w:sz w:val="16"/>
                <w:szCs w:val="16"/>
              </w:rPr>
            </w:pPr>
            <w:r w:rsidRPr="00C90C95">
              <w:rPr>
                <w:b/>
                <w:sz w:val="16"/>
                <w:szCs w:val="16"/>
              </w:rPr>
              <w:t>06/28/22</w:t>
            </w:r>
          </w:p>
        </w:tc>
        <w:tc>
          <w:tcPr>
            <w:tcW w:w="1595" w:type="dxa"/>
            <w:tcBorders>
              <w:top w:val="single" w:sz="4" w:space="0" w:color="auto"/>
              <w:left w:val="single" w:sz="4" w:space="0" w:color="auto"/>
              <w:bottom w:val="single" w:sz="4" w:space="0" w:color="auto"/>
              <w:right w:val="single" w:sz="4" w:space="0" w:color="auto"/>
            </w:tcBorders>
          </w:tcPr>
          <w:p w:rsidR="00FF3CD2" w:rsidRPr="00C90C95" w:rsidRDefault="00FF3CD2" w:rsidP="00121570">
            <w:pPr>
              <w:spacing w:line="252" w:lineRule="auto"/>
              <w:jc w:val="center"/>
              <w:rPr>
                <w:b/>
                <w:sz w:val="16"/>
                <w:szCs w:val="16"/>
              </w:rPr>
            </w:pPr>
            <w:r>
              <w:rPr>
                <w:b/>
                <w:sz w:val="16"/>
                <w:szCs w:val="16"/>
              </w:rPr>
              <w:t>07/05/22</w:t>
            </w:r>
          </w:p>
        </w:tc>
      </w:tr>
      <w:tr w:rsidR="00FF3CD2" w:rsidRPr="00C90C95" w:rsidTr="00121570">
        <w:trPr>
          <w:trHeight w:val="299"/>
        </w:trPr>
        <w:tc>
          <w:tcPr>
            <w:tcW w:w="1620" w:type="dxa"/>
            <w:tcBorders>
              <w:top w:val="single" w:sz="4" w:space="0" w:color="auto"/>
              <w:left w:val="single" w:sz="12" w:space="0" w:color="auto"/>
              <w:bottom w:val="single" w:sz="12" w:space="0" w:color="auto"/>
              <w:right w:val="single" w:sz="12" w:space="0" w:color="auto"/>
            </w:tcBorders>
            <w:noWrap/>
            <w:tcMar>
              <w:top w:w="0" w:type="dxa"/>
              <w:left w:w="108" w:type="dxa"/>
              <w:bottom w:w="0" w:type="dxa"/>
              <w:right w:w="108" w:type="dxa"/>
            </w:tcMar>
            <w:vAlign w:val="bottom"/>
          </w:tcPr>
          <w:p w:rsidR="00FF3CD2" w:rsidRPr="00C90C95" w:rsidRDefault="00FF3CD2" w:rsidP="00121570">
            <w:pPr>
              <w:spacing w:line="252" w:lineRule="auto"/>
              <w:jc w:val="center"/>
              <w:rPr>
                <w:sz w:val="16"/>
                <w:szCs w:val="16"/>
              </w:rPr>
            </w:pPr>
            <w:r w:rsidRPr="00C90C95">
              <w:rPr>
                <w:sz w:val="16"/>
                <w:szCs w:val="16"/>
              </w:rPr>
              <w:t>12 months</w:t>
            </w:r>
          </w:p>
        </w:tc>
        <w:tc>
          <w:tcPr>
            <w:tcW w:w="2070" w:type="dxa"/>
            <w:tcBorders>
              <w:top w:val="single" w:sz="4" w:space="0" w:color="auto"/>
              <w:left w:val="nil"/>
              <w:bottom w:val="single" w:sz="12" w:space="0" w:color="auto"/>
              <w:right w:val="single" w:sz="12" w:space="0" w:color="auto"/>
            </w:tcBorders>
            <w:noWrap/>
            <w:tcMar>
              <w:top w:w="0" w:type="dxa"/>
              <w:left w:w="108" w:type="dxa"/>
              <w:bottom w:w="0" w:type="dxa"/>
              <w:right w:w="108" w:type="dxa"/>
            </w:tcMar>
            <w:vAlign w:val="bottom"/>
            <w:hideMark/>
          </w:tcPr>
          <w:p w:rsidR="00FF3CD2" w:rsidRPr="00C90C95" w:rsidRDefault="00FF3CD2" w:rsidP="00121570">
            <w:pPr>
              <w:spacing w:line="252" w:lineRule="auto"/>
              <w:jc w:val="center"/>
              <w:rPr>
                <w:sz w:val="16"/>
                <w:szCs w:val="16"/>
              </w:rPr>
            </w:pPr>
            <w:r w:rsidRPr="00C90C95">
              <w:rPr>
                <w:sz w:val="16"/>
                <w:szCs w:val="16"/>
              </w:rPr>
              <w:t>7.320</w:t>
            </w:r>
          </w:p>
        </w:tc>
        <w:tc>
          <w:tcPr>
            <w:tcW w:w="1830" w:type="dxa"/>
            <w:tcBorders>
              <w:top w:val="single" w:sz="4" w:space="0" w:color="auto"/>
              <w:left w:val="nil"/>
              <w:bottom w:val="single" w:sz="12" w:space="0" w:color="auto"/>
              <w:right w:val="single" w:sz="12" w:space="0" w:color="auto"/>
            </w:tcBorders>
            <w:noWrap/>
            <w:tcMar>
              <w:top w:w="0" w:type="dxa"/>
              <w:left w:w="108" w:type="dxa"/>
              <w:bottom w:w="0" w:type="dxa"/>
              <w:right w:w="108" w:type="dxa"/>
            </w:tcMar>
            <w:vAlign w:val="bottom"/>
          </w:tcPr>
          <w:p w:rsidR="00FF3CD2" w:rsidRPr="00C90C95" w:rsidRDefault="00FF3CD2" w:rsidP="00121570">
            <w:pPr>
              <w:spacing w:line="252" w:lineRule="auto"/>
              <w:jc w:val="center"/>
              <w:rPr>
                <w:sz w:val="16"/>
                <w:szCs w:val="16"/>
              </w:rPr>
            </w:pPr>
            <w:r w:rsidRPr="00C90C95">
              <w:rPr>
                <w:sz w:val="16"/>
                <w:szCs w:val="16"/>
              </w:rPr>
              <w:t>5.85</w:t>
            </w:r>
          </w:p>
        </w:tc>
        <w:tc>
          <w:tcPr>
            <w:tcW w:w="1595" w:type="dxa"/>
            <w:tcBorders>
              <w:top w:val="single" w:sz="4" w:space="0" w:color="auto"/>
              <w:left w:val="nil"/>
              <w:bottom w:val="single" w:sz="12" w:space="0" w:color="auto"/>
              <w:right w:val="single" w:sz="12" w:space="0" w:color="auto"/>
            </w:tcBorders>
            <w:vAlign w:val="bottom"/>
          </w:tcPr>
          <w:p w:rsidR="00FF3CD2" w:rsidRPr="00C90C95" w:rsidRDefault="00FF3CD2" w:rsidP="00121570">
            <w:pPr>
              <w:spacing w:line="252" w:lineRule="auto"/>
              <w:jc w:val="center"/>
              <w:rPr>
                <w:sz w:val="16"/>
                <w:szCs w:val="16"/>
              </w:rPr>
            </w:pPr>
            <w:r>
              <w:rPr>
                <w:sz w:val="16"/>
                <w:szCs w:val="16"/>
              </w:rPr>
              <w:t>5.87</w:t>
            </w:r>
          </w:p>
        </w:tc>
        <w:tc>
          <w:tcPr>
            <w:tcW w:w="1595" w:type="dxa"/>
            <w:tcBorders>
              <w:top w:val="single" w:sz="4" w:space="0" w:color="auto"/>
              <w:left w:val="nil"/>
              <w:bottom w:val="single" w:sz="12" w:space="0" w:color="auto"/>
              <w:right w:val="single" w:sz="12" w:space="0" w:color="auto"/>
            </w:tcBorders>
            <w:vAlign w:val="bottom"/>
          </w:tcPr>
          <w:p w:rsidR="00FF3CD2" w:rsidRPr="00C90C95" w:rsidRDefault="00FF3CD2" w:rsidP="00121570">
            <w:pPr>
              <w:spacing w:line="252" w:lineRule="auto"/>
              <w:jc w:val="center"/>
              <w:rPr>
                <w:sz w:val="16"/>
                <w:szCs w:val="16"/>
              </w:rPr>
            </w:pPr>
            <w:r>
              <w:rPr>
                <w:sz w:val="16"/>
                <w:szCs w:val="16"/>
              </w:rPr>
              <w:t>5.15</w:t>
            </w:r>
          </w:p>
        </w:tc>
      </w:tr>
      <w:tr w:rsidR="00FF3CD2" w:rsidRPr="00C90C95" w:rsidTr="00121570">
        <w:trPr>
          <w:trHeight w:val="240"/>
        </w:trPr>
        <w:tc>
          <w:tcPr>
            <w:tcW w:w="1620" w:type="dxa"/>
            <w:tcBorders>
              <w:top w:val="nil"/>
              <w:left w:val="single" w:sz="12" w:space="0" w:color="auto"/>
              <w:bottom w:val="single" w:sz="12" w:space="0" w:color="auto"/>
              <w:right w:val="single" w:sz="12" w:space="0" w:color="auto"/>
            </w:tcBorders>
            <w:noWrap/>
            <w:tcMar>
              <w:top w:w="0" w:type="dxa"/>
              <w:left w:w="108" w:type="dxa"/>
              <w:bottom w:w="0" w:type="dxa"/>
              <w:right w:w="108" w:type="dxa"/>
            </w:tcMar>
            <w:vAlign w:val="bottom"/>
          </w:tcPr>
          <w:p w:rsidR="00FF3CD2" w:rsidRPr="00C90C95" w:rsidRDefault="00FF3CD2" w:rsidP="00121570">
            <w:pPr>
              <w:spacing w:line="252" w:lineRule="auto"/>
              <w:jc w:val="center"/>
              <w:rPr>
                <w:sz w:val="10"/>
                <w:szCs w:val="16"/>
              </w:rPr>
            </w:pPr>
          </w:p>
          <w:p w:rsidR="00FF3CD2" w:rsidRPr="00C90C95" w:rsidRDefault="00FF3CD2" w:rsidP="00121570">
            <w:pPr>
              <w:spacing w:line="252" w:lineRule="auto"/>
              <w:jc w:val="center"/>
              <w:rPr>
                <w:sz w:val="16"/>
                <w:szCs w:val="16"/>
              </w:rPr>
            </w:pPr>
            <w:r w:rsidRPr="00C90C95">
              <w:rPr>
                <w:sz w:val="16"/>
                <w:szCs w:val="16"/>
              </w:rPr>
              <w:t>24 months</w:t>
            </w:r>
          </w:p>
        </w:tc>
        <w:tc>
          <w:tcPr>
            <w:tcW w:w="2070"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rsidR="00FF3CD2" w:rsidRPr="00C90C95" w:rsidRDefault="00FF3CD2" w:rsidP="00121570">
            <w:pPr>
              <w:spacing w:line="252" w:lineRule="auto"/>
              <w:jc w:val="center"/>
              <w:rPr>
                <w:sz w:val="16"/>
                <w:szCs w:val="16"/>
              </w:rPr>
            </w:pPr>
            <w:r w:rsidRPr="00C90C95">
              <w:rPr>
                <w:sz w:val="16"/>
                <w:szCs w:val="16"/>
              </w:rPr>
              <w:t>6.050</w:t>
            </w:r>
          </w:p>
        </w:tc>
        <w:tc>
          <w:tcPr>
            <w:tcW w:w="1830" w:type="dxa"/>
            <w:tcBorders>
              <w:top w:val="nil"/>
              <w:left w:val="nil"/>
              <w:bottom w:val="single" w:sz="12" w:space="0" w:color="auto"/>
              <w:right w:val="single" w:sz="12" w:space="0" w:color="auto"/>
            </w:tcBorders>
            <w:noWrap/>
            <w:tcMar>
              <w:top w:w="0" w:type="dxa"/>
              <w:left w:w="108" w:type="dxa"/>
              <w:bottom w:w="0" w:type="dxa"/>
              <w:right w:w="108" w:type="dxa"/>
            </w:tcMar>
            <w:vAlign w:val="bottom"/>
          </w:tcPr>
          <w:p w:rsidR="00FF3CD2" w:rsidRPr="00C90C95" w:rsidRDefault="00FF3CD2" w:rsidP="00121570">
            <w:pPr>
              <w:spacing w:line="252" w:lineRule="auto"/>
              <w:jc w:val="center"/>
              <w:rPr>
                <w:sz w:val="16"/>
                <w:szCs w:val="16"/>
              </w:rPr>
            </w:pPr>
            <w:r w:rsidRPr="00C90C95">
              <w:rPr>
                <w:sz w:val="16"/>
                <w:szCs w:val="16"/>
              </w:rPr>
              <w:t>5.37</w:t>
            </w:r>
          </w:p>
        </w:tc>
        <w:tc>
          <w:tcPr>
            <w:tcW w:w="1595" w:type="dxa"/>
            <w:tcBorders>
              <w:top w:val="nil"/>
              <w:left w:val="nil"/>
              <w:bottom w:val="single" w:sz="12" w:space="0" w:color="auto"/>
              <w:right w:val="single" w:sz="12" w:space="0" w:color="auto"/>
            </w:tcBorders>
            <w:vAlign w:val="bottom"/>
          </w:tcPr>
          <w:p w:rsidR="00FF3CD2" w:rsidRPr="00C90C95" w:rsidRDefault="00FF3CD2" w:rsidP="00121570">
            <w:pPr>
              <w:spacing w:line="252" w:lineRule="auto"/>
              <w:jc w:val="center"/>
              <w:rPr>
                <w:sz w:val="16"/>
                <w:szCs w:val="16"/>
              </w:rPr>
            </w:pPr>
            <w:r>
              <w:rPr>
                <w:sz w:val="16"/>
                <w:szCs w:val="16"/>
              </w:rPr>
              <w:t>5.30</w:t>
            </w:r>
          </w:p>
        </w:tc>
        <w:tc>
          <w:tcPr>
            <w:tcW w:w="1595" w:type="dxa"/>
            <w:tcBorders>
              <w:top w:val="nil"/>
              <w:left w:val="nil"/>
              <w:bottom w:val="single" w:sz="12" w:space="0" w:color="auto"/>
              <w:right w:val="single" w:sz="12" w:space="0" w:color="auto"/>
            </w:tcBorders>
            <w:vAlign w:val="bottom"/>
          </w:tcPr>
          <w:p w:rsidR="00FF3CD2" w:rsidRPr="00C90C95" w:rsidRDefault="00FF3CD2" w:rsidP="00121570">
            <w:pPr>
              <w:spacing w:line="252" w:lineRule="auto"/>
              <w:jc w:val="center"/>
              <w:rPr>
                <w:sz w:val="16"/>
                <w:szCs w:val="16"/>
              </w:rPr>
            </w:pPr>
            <w:r>
              <w:rPr>
                <w:sz w:val="16"/>
                <w:szCs w:val="16"/>
              </w:rPr>
              <w:t>4.86</w:t>
            </w:r>
          </w:p>
        </w:tc>
      </w:tr>
      <w:tr w:rsidR="00FF3CD2" w:rsidRPr="00C90C95" w:rsidTr="00121570">
        <w:trPr>
          <w:trHeight w:val="267"/>
        </w:trPr>
        <w:tc>
          <w:tcPr>
            <w:tcW w:w="1620" w:type="dxa"/>
            <w:tcBorders>
              <w:top w:val="nil"/>
              <w:left w:val="single" w:sz="12" w:space="0" w:color="auto"/>
              <w:bottom w:val="single" w:sz="12" w:space="0" w:color="auto"/>
              <w:right w:val="single" w:sz="12" w:space="0" w:color="auto"/>
            </w:tcBorders>
            <w:noWrap/>
            <w:tcMar>
              <w:top w:w="0" w:type="dxa"/>
              <w:left w:w="108" w:type="dxa"/>
              <w:bottom w:w="0" w:type="dxa"/>
              <w:right w:w="108" w:type="dxa"/>
            </w:tcMar>
            <w:vAlign w:val="bottom"/>
          </w:tcPr>
          <w:p w:rsidR="00FF3CD2" w:rsidRPr="00C90C95" w:rsidRDefault="00FF3CD2" w:rsidP="00121570">
            <w:pPr>
              <w:spacing w:line="252" w:lineRule="auto"/>
              <w:jc w:val="center"/>
              <w:rPr>
                <w:sz w:val="10"/>
                <w:szCs w:val="16"/>
              </w:rPr>
            </w:pPr>
          </w:p>
          <w:p w:rsidR="00FF3CD2" w:rsidRPr="00C90C95" w:rsidRDefault="00FF3CD2" w:rsidP="00121570">
            <w:pPr>
              <w:spacing w:line="252" w:lineRule="auto"/>
              <w:jc w:val="center"/>
              <w:rPr>
                <w:sz w:val="16"/>
                <w:szCs w:val="16"/>
              </w:rPr>
            </w:pPr>
            <w:r w:rsidRPr="00C90C95">
              <w:rPr>
                <w:sz w:val="16"/>
                <w:szCs w:val="16"/>
              </w:rPr>
              <w:t>36 months</w:t>
            </w:r>
          </w:p>
        </w:tc>
        <w:tc>
          <w:tcPr>
            <w:tcW w:w="2070"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rsidR="00FF3CD2" w:rsidRPr="00C90C95" w:rsidRDefault="00FF3CD2" w:rsidP="00121570">
            <w:pPr>
              <w:spacing w:line="252" w:lineRule="auto"/>
              <w:jc w:val="center"/>
              <w:rPr>
                <w:sz w:val="16"/>
                <w:szCs w:val="16"/>
              </w:rPr>
            </w:pPr>
            <w:r w:rsidRPr="00C90C95">
              <w:rPr>
                <w:sz w:val="16"/>
                <w:szCs w:val="16"/>
              </w:rPr>
              <w:t>5.450</w:t>
            </w:r>
          </w:p>
        </w:tc>
        <w:tc>
          <w:tcPr>
            <w:tcW w:w="1830" w:type="dxa"/>
            <w:tcBorders>
              <w:top w:val="nil"/>
              <w:left w:val="nil"/>
              <w:bottom w:val="single" w:sz="12" w:space="0" w:color="auto"/>
              <w:right w:val="single" w:sz="12" w:space="0" w:color="auto"/>
            </w:tcBorders>
            <w:noWrap/>
            <w:tcMar>
              <w:top w:w="0" w:type="dxa"/>
              <w:left w:w="108" w:type="dxa"/>
              <w:bottom w:w="0" w:type="dxa"/>
              <w:right w:w="108" w:type="dxa"/>
            </w:tcMar>
            <w:vAlign w:val="bottom"/>
          </w:tcPr>
          <w:p w:rsidR="00FF3CD2" w:rsidRPr="00C90C95" w:rsidRDefault="00FF3CD2" w:rsidP="00121570">
            <w:pPr>
              <w:spacing w:line="252" w:lineRule="auto"/>
              <w:jc w:val="center"/>
              <w:rPr>
                <w:sz w:val="16"/>
                <w:szCs w:val="16"/>
              </w:rPr>
            </w:pPr>
            <w:r w:rsidRPr="00C90C95">
              <w:rPr>
                <w:sz w:val="16"/>
                <w:szCs w:val="16"/>
              </w:rPr>
              <w:t>5.20</w:t>
            </w:r>
          </w:p>
        </w:tc>
        <w:tc>
          <w:tcPr>
            <w:tcW w:w="1595" w:type="dxa"/>
            <w:tcBorders>
              <w:top w:val="nil"/>
              <w:left w:val="nil"/>
              <w:bottom w:val="single" w:sz="12" w:space="0" w:color="auto"/>
              <w:right w:val="single" w:sz="12" w:space="0" w:color="auto"/>
            </w:tcBorders>
            <w:vAlign w:val="bottom"/>
          </w:tcPr>
          <w:p w:rsidR="00FF3CD2" w:rsidRPr="00C90C95" w:rsidRDefault="00FF3CD2" w:rsidP="00121570">
            <w:pPr>
              <w:spacing w:line="252" w:lineRule="auto"/>
              <w:jc w:val="center"/>
              <w:rPr>
                <w:sz w:val="16"/>
                <w:szCs w:val="16"/>
              </w:rPr>
            </w:pPr>
            <w:r>
              <w:rPr>
                <w:sz w:val="16"/>
                <w:szCs w:val="16"/>
              </w:rPr>
              <w:t>5.09</w:t>
            </w:r>
          </w:p>
        </w:tc>
        <w:tc>
          <w:tcPr>
            <w:tcW w:w="1595" w:type="dxa"/>
            <w:tcBorders>
              <w:top w:val="nil"/>
              <w:left w:val="nil"/>
              <w:bottom w:val="single" w:sz="12" w:space="0" w:color="auto"/>
              <w:right w:val="single" w:sz="12" w:space="0" w:color="auto"/>
            </w:tcBorders>
            <w:vAlign w:val="bottom"/>
          </w:tcPr>
          <w:p w:rsidR="00FF3CD2" w:rsidRPr="00230D5F" w:rsidRDefault="00FF3CD2" w:rsidP="00121570">
            <w:pPr>
              <w:spacing w:line="252" w:lineRule="auto"/>
              <w:jc w:val="center"/>
              <w:rPr>
                <w:sz w:val="16"/>
                <w:szCs w:val="16"/>
              </w:rPr>
            </w:pPr>
            <w:r w:rsidRPr="00230D5F">
              <w:rPr>
                <w:sz w:val="16"/>
                <w:szCs w:val="16"/>
              </w:rPr>
              <w:t>4.77</w:t>
            </w:r>
          </w:p>
        </w:tc>
      </w:tr>
      <w:tr w:rsidR="00FF3CD2" w:rsidRPr="00C90C95" w:rsidTr="00121570">
        <w:trPr>
          <w:trHeight w:val="50"/>
        </w:trPr>
        <w:tc>
          <w:tcPr>
            <w:tcW w:w="1620" w:type="dxa"/>
            <w:tcBorders>
              <w:top w:val="nil"/>
              <w:left w:val="single" w:sz="12" w:space="0" w:color="auto"/>
              <w:bottom w:val="single" w:sz="12" w:space="0" w:color="auto"/>
              <w:right w:val="single" w:sz="12" w:space="0" w:color="auto"/>
            </w:tcBorders>
            <w:noWrap/>
            <w:tcMar>
              <w:top w:w="0" w:type="dxa"/>
              <w:left w:w="108" w:type="dxa"/>
              <w:bottom w:w="0" w:type="dxa"/>
              <w:right w:w="108" w:type="dxa"/>
            </w:tcMar>
            <w:vAlign w:val="bottom"/>
          </w:tcPr>
          <w:p w:rsidR="00FF3CD2" w:rsidRPr="00C90C95" w:rsidRDefault="00FF3CD2" w:rsidP="00121570">
            <w:pPr>
              <w:spacing w:line="252" w:lineRule="auto"/>
              <w:jc w:val="center"/>
              <w:rPr>
                <w:sz w:val="10"/>
                <w:szCs w:val="16"/>
              </w:rPr>
            </w:pPr>
          </w:p>
          <w:p w:rsidR="00FF3CD2" w:rsidRPr="00C90C95" w:rsidRDefault="00FF3CD2" w:rsidP="00121570">
            <w:pPr>
              <w:spacing w:line="252" w:lineRule="auto"/>
              <w:jc w:val="center"/>
              <w:rPr>
                <w:sz w:val="16"/>
                <w:szCs w:val="16"/>
              </w:rPr>
            </w:pPr>
            <w:r w:rsidRPr="00C90C95">
              <w:rPr>
                <w:sz w:val="16"/>
                <w:szCs w:val="16"/>
              </w:rPr>
              <w:t>42 months</w:t>
            </w:r>
          </w:p>
        </w:tc>
        <w:tc>
          <w:tcPr>
            <w:tcW w:w="2070"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rsidR="00FF3CD2" w:rsidRPr="00C90C95" w:rsidRDefault="00FF3CD2" w:rsidP="00121570">
            <w:pPr>
              <w:spacing w:line="252" w:lineRule="auto"/>
              <w:jc w:val="center"/>
              <w:rPr>
                <w:sz w:val="16"/>
                <w:szCs w:val="16"/>
              </w:rPr>
            </w:pPr>
            <w:r w:rsidRPr="00C90C95">
              <w:rPr>
                <w:sz w:val="16"/>
                <w:szCs w:val="16"/>
              </w:rPr>
              <w:t>n/a</w:t>
            </w:r>
          </w:p>
        </w:tc>
        <w:tc>
          <w:tcPr>
            <w:tcW w:w="1830" w:type="dxa"/>
            <w:tcBorders>
              <w:top w:val="nil"/>
              <w:left w:val="nil"/>
              <w:bottom w:val="single" w:sz="12" w:space="0" w:color="auto"/>
              <w:right w:val="single" w:sz="12" w:space="0" w:color="auto"/>
            </w:tcBorders>
            <w:noWrap/>
            <w:tcMar>
              <w:top w:w="0" w:type="dxa"/>
              <w:left w:w="108" w:type="dxa"/>
              <w:bottom w:w="0" w:type="dxa"/>
              <w:right w:w="108" w:type="dxa"/>
            </w:tcMar>
            <w:vAlign w:val="bottom"/>
          </w:tcPr>
          <w:p w:rsidR="00FF3CD2" w:rsidRPr="00C90C95" w:rsidRDefault="00FF3CD2" w:rsidP="00121570">
            <w:pPr>
              <w:spacing w:line="252" w:lineRule="auto"/>
              <w:jc w:val="center"/>
              <w:rPr>
                <w:sz w:val="16"/>
                <w:szCs w:val="16"/>
              </w:rPr>
            </w:pPr>
            <w:r w:rsidRPr="00C90C95">
              <w:rPr>
                <w:sz w:val="16"/>
                <w:szCs w:val="16"/>
              </w:rPr>
              <w:t>n/a</w:t>
            </w:r>
          </w:p>
        </w:tc>
        <w:tc>
          <w:tcPr>
            <w:tcW w:w="1595" w:type="dxa"/>
            <w:tcBorders>
              <w:top w:val="nil"/>
              <w:left w:val="nil"/>
              <w:bottom w:val="single" w:sz="12" w:space="0" w:color="auto"/>
              <w:right w:val="single" w:sz="12" w:space="0" w:color="auto"/>
            </w:tcBorders>
            <w:vAlign w:val="bottom"/>
          </w:tcPr>
          <w:p w:rsidR="00FF3CD2" w:rsidRPr="00C90C95" w:rsidRDefault="00FF3CD2" w:rsidP="00121570">
            <w:pPr>
              <w:spacing w:line="252" w:lineRule="auto"/>
              <w:jc w:val="center"/>
              <w:rPr>
                <w:sz w:val="16"/>
                <w:szCs w:val="16"/>
              </w:rPr>
            </w:pPr>
            <w:r w:rsidRPr="00C90C95">
              <w:rPr>
                <w:sz w:val="16"/>
                <w:szCs w:val="16"/>
              </w:rPr>
              <w:t>n/a</w:t>
            </w:r>
          </w:p>
        </w:tc>
        <w:tc>
          <w:tcPr>
            <w:tcW w:w="1595" w:type="dxa"/>
            <w:tcBorders>
              <w:top w:val="nil"/>
              <w:left w:val="nil"/>
              <w:bottom w:val="single" w:sz="12" w:space="0" w:color="auto"/>
              <w:right w:val="single" w:sz="12" w:space="0" w:color="auto"/>
            </w:tcBorders>
            <w:vAlign w:val="bottom"/>
          </w:tcPr>
          <w:p w:rsidR="00FF3CD2" w:rsidRPr="00C90C95" w:rsidRDefault="00FF3CD2" w:rsidP="00121570">
            <w:pPr>
              <w:spacing w:line="252" w:lineRule="auto"/>
              <w:jc w:val="center"/>
              <w:rPr>
                <w:sz w:val="16"/>
                <w:szCs w:val="16"/>
              </w:rPr>
            </w:pPr>
            <w:r w:rsidRPr="00C90C95">
              <w:rPr>
                <w:sz w:val="16"/>
                <w:szCs w:val="16"/>
              </w:rPr>
              <w:t>n/a</w:t>
            </w:r>
          </w:p>
        </w:tc>
      </w:tr>
      <w:tr w:rsidR="00FF3CD2" w:rsidRPr="00C90C95" w:rsidTr="00121570">
        <w:trPr>
          <w:trHeight w:val="224"/>
        </w:trPr>
        <w:tc>
          <w:tcPr>
            <w:tcW w:w="1620" w:type="dxa"/>
            <w:tcBorders>
              <w:top w:val="nil"/>
              <w:left w:val="single" w:sz="12" w:space="0" w:color="auto"/>
              <w:bottom w:val="single" w:sz="12" w:space="0" w:color="auto"/>
              <w:right w:val="single" w:sz="12" w:space="0" w:color="auto"/>
            </w:tcBorders>
            <w:noWrap/>
            <w:tcMar>
              <w:top w:w="0" w:type="dxa"/>
              <w:left w:w="108" w:type="dxa"/>
              <w:bottom w:w="0" w:type="dxa"/>
              <w:right w:w="108" w:type="dxa"/>
            </w:tcMar>
            <w:vAlign w:val="bottom"/>
          </w:tcPr>
          <w:p w:rsidR="00FF3CD2" w:rsidRPr="00C90C95" w:rsidRDefault="00FF3CD2" w:rsidP="00121570">
            <w:pPr>
              <w:spacing w:line="252" w:lineRule="auto"/>
              <w:jc w:val="center"/>
              <w:rPr>
                <w:sz w:val="10"/>
                <w:szCs w:val="16"/>
              </w:rPr>
            </w:pPr>
          </w:p>
          <w:p w:rsidR="00FF3CD2" w:rsidRPr="00C90C95" w:rsidRDefault="00FF3CD2" w:rsidP="00121570">
            <w:pPr>
              <w:spacing w:line="252" w:lineRule="auto"/>
              <w:jc w:val="center"/>
              <w:rPr>
                <w:sz w:val="16"/>
                <w:szCs w:val="16"/>
              </w:rPr>
            </w:pPr>
            <w:r w:rsidRPr="00C90C95">
              <w:rPr>
                <w:sz w:val="16"/>
                <w:szCs w:val="16"/>
              </w:rPr>
              <w:t>48 months</w:t>
            </w:r>
          </w:p>
        </w:tc>
        <w:tc>
          <w:tcPr>
            <w:tcW w:w="2070"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rsidR="00FF3CD2" w:rsidRPr="00C90C95" w:rsidRDefault="00FF3CD2" w:rsidP="00121570">
            <w:pPr>
              <w:spacing w:line="252" w:lineRule="auto"/>
              <w:jc w:val="center"/>
              <w:rPr>
                <w:sz w:val="16"/>
                <w:szCs w:val="16"/>
              </w:rPr>
            </w:pPr>
            <w:r w:rsidRPr="00C90C95">
              <w:rPr>
                <w:sz w:val="16"/>
                <w:szCs w:val="16"/>
              </w:rPr>
              <w:t>n/a</w:t>
            </w:r>
          </w:p>
        </w:tc>
        <w:tc>
          <w:tcPr>
            <w:tcW w:w="1830" w:type="dxa"/>
            <w:tcBorders>
              <w:top w:val="nil"/>
              <w:left w:val="nil"/>
              <w:bottom w:val="single" w:sz="12" w:space="0" w:color="auto"/>
              <w:right w:val="single" w:sz="12" w:space="0" w:color="auto"/>
            </w:tcBorders>
            <w:noWrap/>
            <w:tcMar>
              <w:top w:w="0" w:type="dxa"/>
              <w:left w:w="108" w:type="dxa"/>
              <w:bottom w:w="0" w:type="dxa"/>
              <w:right w:w="108" w:type="dxa"/>
            </w:tcMar>
            <w:vAlign w:val="bottom"/>
          </w:tcPr>
          <w:p w:rsidR="00FF3CD2" w:rsidRPr="00C90C95" w:rsidRDefault="00FF3CD2" w:rsidP="00121570">
            <w:pPr>
              <w:spacing w:line="252" w:lineRule="auto"/>
              <w:jc w:val="center"/>
              <w:rPr>
                <w:sz w:val="16"/>
                <w:szCs w:val="16"/>
              </w:rPr>
            </w:pPr>
            <w:r w:rsidRPr="00C90C95">
              <w:rPr>
                <w:sz w:val="16"/>
                <w:szCs w:val="16"/>
              </w:rPr>
              <w:t>n/a</w:t>
            </w:r>
          </w:p>
        </w:tc>
        <w:tc>
          <w:tcPr>
            <w:tcW w:w="1595" w:type="dxa"/>
            <w:tcBorders>
              <w:top w:val="nil"/>
              <w:left w:val="nil"/>
              <w:bottom w:val="single" w:sz="12" w:space="0" w:color="auto"/>
              <w:right w:val="single" w:sz="12" w:space="0" w:color="auto"/>
            </w:tcBorders>
            <w:vAlign w:val="bottom"/>
          </w:tcPr>
          <w:p w:rsidR="00FF3CD2" w:rsidRPr="00C90C95" w:rsidRDefault="00FF3CD2" w:rsidP="00121570">
            <w:pPr>
              <w:spacing w:line="252" w:lineRule="auto"/>
              <w:jc w:val="center"/>
              <w:rPr>
                <w:sz w:val="16"/>
                <w:szCs w:val="16"/>
              </w:rPr>
            </w:pPr>
            <w:r w:rsidRPr="00C90C95">
              <w:rPr>
                <w:sz w:val="16"/>
                <w:szCs w:val="16"/>
              </w:rPr>
              <w:t>n/a</w:t>
            </w:r>
          </w:p>
        </w:tc>
        <w:tc>
          <w:tcPr>
            <w:tcW w:w="1595" w:type="dxa"/>
            <w:tcBorders>
              <w:top w:val="nil"/>
              <w:left w:val="nil"/>
              <w:bottom w:val="single" w:sz="12" w:space="0" w:color="auto"/>
              <w:right w:val="single" w:sz="12" w:space="0" w:color="auto"/>
            </w:tcBorders>
            <w:vAlign w:val="bottom"/>
          </w:tcPr>
          <w:p w:rsidR="00FF3CD2" w:rsidRPr="00C90C95" w:rsidRDefault="00FF3CD2" w:rsidP="00121570">
            <w:pPr>
              <w:spacing w:line="252" w:lineRule="auto"/>
              <w:jc w:val="center"/>
              <w:rPr>
                <w:sz w:val="16"/>
                <w:szCs w:val="16"/>
              </w:rPr>
            </w:pPr>
            <w:r w:rsidRPr="00C90C95">
              <w:rPr>
                <w:sz w:val="16"/>
                <w:szCs w:val="16"/>
              </w:rPr>
              <w:t>n/a</w:t>
            </w:r>
          </w:p>
        </w:tc>
      </w:tr>
    </w:tbl>
    <w:p w:rsidR="00FF3CD2" w:rsidRPr="00C90C95" w:rsidRDefault="00FF3CD2" w:rsidP="00FF3CD2">
      <w:pPr>
        <w:rPr>
          <w:b/>
          <w:bCs/>
          <w:sz w:val="22"/>
          <w:szCs w:val="22"/>
        </w:rPr>
      </w:pPr>
    </w:p>
    <w:p w:rsidR="00FF3CD2" w:rsidRPr="00C90C95" w:rsidRDefault="00FF3CD2" w:rsidP="00FF3CD2">
      <w:pPr>
        <w:rPr>
          <w:b/>
          <w:bCs/>
          <w:sz w:val="22"/>
          <w:szCs w:val="22"/>
        </w:rPr>
      </w:pPr>
    </w:p>
    <w:p w:rsidR="00FF3CD2" w:rsidRPr="00C90C95" w:rsidRDefault="00FF3CD2" w:rsidP="00FF3CD2">
      <w:pPr>
        <w:rPr>
          <w:b/>
          <w:bCs/>
          <w:sz w:val="22"/>
          <w:szCs w:val="22"/>
        </w:rPr>
      </w:pPr>
    </w:p>
    <w:p w:rsidR="00FF3CD2" w:rsidRPr="00C90C95" w:rsidRDefault="00FF3CD2" w:rsidP="00FF3CD2">
      <w:pPr>
        <w:rPr>
          <w:b/>
          <w:bCs/>
          <w:sz w:val="22"/>
          <w:szCs w:val="22"/>
        </w:rPr>
      </w:pPr>
    </w:p>
    <w:p w:rsidR="00FF3CD2" w:rsidRPr="00C90C95" w:rsidRDefault="00FF3CD2" w:rsidP="00FF3CD2">
      <w:pPr>
        <w:rPr>
          <w:b/>
          <w:bCs/>
          <w:sz w:val="22"/>
          <w:szCs w:val="22"/>
        </w:rPr>
      </w:pPr>
    </w:p>
    <w:p w:rsidR="00FF3CD2" w:rsidRDefault="00FF3CD2" w:rsidP="005F5064">
      <w:pPr>
        <w:pStyle w:val="ListParagraph"/>
        <w:rPr>
          <w:bCs/>
          <w:sz w:val="22"/>
          <w:szCs w:val="22"/>
        </w:rPr>
      </w:pPr>
    </w:p>
    <w:p w:rsidR="005F5064" w:rsidRDefault="005F5064" w:rsidP="005A5DC8">
      <w:pPr>
        <w:pStyle w:val="ListParagraph"/>
        <w:ind w:left="0" w:firstLine="720"/>
        <w:rPr>
          <w:bCs/>
          <w:sz w:val="22"/>
          <w:szCs w:val="22"/>
        </w:rPr>
      </w:pPr>
      <w:r>
        <w:rPr>
          <w:bCs/>
          <w:sz w:val="22"/>
          <w:szCs w:val="22"/>
        </w:rPr>
        <w:t xml:space="preserve">Chief Clerk Hemminger stated that she </w:t>
      </w:r>
      <w:r w:rsidR="00B24FDF">
        <w:rPr>
          <w:bCs/>
          <w:sz w:val="22"/>
          <w:szCs w:val="22"/>
        </w:rPr>
        <w:t>wanted</w:t>
      </w:r>
      <w:r>
        <w:rPr>
          <w:bCs/>
          <w:sz w:val="22"/>
          <w:szCs w:val="22"/>
        </w:rPr>
        <w:t xml:space="preserve"> to clarify for the board that the county signed a </w:t>
      </w:r>
      <w:r w:rsidR="00B24FDF">
        <w:rPr>
          <w:bCs/>
          <w:sz w:val="22"/>
          <w:szCs w:val="22"/>
        </w:rPr>
        <w:t xml:space="preserve">contract </w:t>
      </w:r>
      <w:r w:rsidR="005A5DC8">
        <w:rPr>
          <w:bCs/>
          <w:sz w:val="22"/>
          <w:szCs w:val="22"/>
        </w:rPr>
        <w:t>for natural gas, however</w:t>
      </w:r>
      <w:r w:rsidR="00544E92">
        <w:rPr>
          <w:bCs/>
          <w:sz w:val="22"/>
          <w:szCs w:val="22"/>
        </w:rPr>
        <w:t>,</w:t>
      </w:r>
      <w:r w:rsidR="005A5DC8">
        <w:rPr>
          <w:bCs/>
          <w:sz w:val="22"/>
          <w:szCs w:val="22"/>
        </w:rPr>
        <w:t xml:space="preserve"> we have not fixed pricing.  She stated that as of yesterday, 07/06/22, pricing was as follows:</w:t>
      </w:r>
    </w:p>
    <w:p w:rsidR="005A5DC8" w:rsidRDefault="005A5DC8" w:rsidP="005F5064">
      <w:pPr>
        <w:pStyle w:val="ListParagraph"/>
        <w:rPr>
          <w:bCs/>
          <w:sz w:val="22"/>
          <w:szCs w:val="22"/>
        </w:rPr>
      </w:pPr>
    </w:p>
    <w:p w:rsidR="005A5DC8" w:rsidRDefault="005A5DC8" w:rsidP="005A5DC8">
      <w:pPr>
        <w:pStyle w:val="ListParagraph"/>
        <w:numPr>
          <w:ilvl w:val="0"/>
          <w:numId w:val="17"/>
        </w:numPr>
        <w:rPr>
          <w:bCs/>
          <w:sz w:val="22"/>
          <w:szCs w:val="22"/>
        </w:rPr>
      </w:pPr>
      <w:r>
        <w:rPr>
          <w:bCs/>
          <w:sz w:val="22"/>
          <w:szCs w:val="22"/>
        </w:rPr>
        <w:t>12 months 4.94</w:t>
      </w:r>
    </w:p>
    <w:p w:rsidR="005A5DC8" w:rsidRDefault="005A5DC8" w:rsidP="005A5DC8">
      <w:pPr>
        <w:pStyle w:val="ListParagraph"/>
        <w:numPr>
          <w:ilvl w:val="0"/>
          <w:numId w:val="17"/>
        </w:numPr>
        <w:rPr>
          <w:bCs/>
          <w:sz w:val="22"/>
          <w:szCs w:val="22"/>
        </w:rPr>
      </w:pPr>
      <w:r>
        <w:rPr>
          <w:bCs/>
          <w:sz w:val="22"/>
          <w:szCs w:val="22"/>
        </w:rPr>
        <w:t>24 months 4.62</w:t>
      </w:r>
    </w:p>
    <w:p w:rsidR="005A5DC8" w:rsidRDefault="005A5DC8" w:rsidP="005A5DC8">
      <w:pPr>
        <w:pStyle w:val="ListParagraph"/>
        <w:numPr>
          <w:ilvl w:val="0"/>
          <w:numId w:val="17"/>
        </w:numPr>
        <w:rPr>
          <w:bCs/>
          <w:sz w:val="22"/>
          <w:szCs w:val="22"/>
        </w:rPr>
      </w:pPr>
      <w:r>
        <w:rPr>
          <w:bCs/>
          <w:sz w:val="22"/>
          <w:szCs w:val="22"/>
        </w:rPr>
        <w:t>36 months 4.55</w:t>
      </w:r>
    </w:p>
    <w:p w:rsidR="005A5DC8" w:rsidRDefault="005A5DC8" w:rsidP="005A5DC8">
      <w:pPr>
        <w:rPr>
          <w:bCs/>
          <w:sz w:val="22"/>
          <w:szCs w:val="22"/>
        </w:rPr>
      </w:pPr>
    </w:p>
    <w:p w:rsidR="005A5DC8" w:rsidRDefault="005A5DC8" w:rsidP="005A5DC8">
      <w:pPr>
        <w:ind w:firstLine="720"/>
        <w:rPr>
          <w:bCs/>
          <w:sz w:val="22"/>
          <w:szCs w:val="22"/>
        </w:rPr>
      </w:pPr>
      <w:r>
        <w:rPr>
          <w:bCs/>
          <w:sz w:val="22"/>
          <w:szCs w:val="22"/>
        </w:rPr>
        <w:t xml:space="preserve">Commissioner Erb recommended that the board consider authorizing </w:t>
      </w:r>
      <w:r w:rsidR="00544E92">
        <w:rPr>
          <w:bCs/>
          <w:sz w:val="22"/>
          <w:szCs w:val="22"/>
        </w:rPr>
        <w:t>Mike</w:t>
      </w:r>
      <w:r>
        <w:rPr>
          <w:bCs/>
          <w:sz w:val="22"/>
          <w:szCs w:val="22"/>
        </w:rPr>
        <w:t xml:space="preserve"> Polosky of Efficient Energy Solutions to lock in 50% of the county’s natural gas supply for a period of twenty-four (24) months for an amount not to exceed 4.39.</w:t>
      </w:r>
    </w:p>
    <w:p w:rsidR="005A5DC8" w:rsidRDefault="005A5DC8" w:rsidP="005A5DC8">
      <w:pPr>
        <w:ind w:firstLine="720"/>
        <w:rPr>
          <w:bCs/>
          <w:sz w:val="22"/>
          <w:szCs w:val="22"/>
        </w:rPr>
      </w:pPr>
    </w:p>
    <w:p w:rsidR="005A5DC8" w:rsidRDefault="005A5DC8" w:rsidP="005A5DC8">
      <w:pPr>
        <w:ind w:firstLine="720"/>
        <w:rPr>
          <w:bCs/>
          <w:sz w:val="22"/>
          <w:szCs w:val="22"/>
        </w:rPr>
      </w:pPr>
      <w:r>
        <w:rPr>
          <w:bCs/>
          <w:sz w:val="22"/>
          <w:szCs w:val="22"/>
        </w:rPr>
        <w:t>Discussion followed.</w:t>
      </w:r>
    </w:p>
    <w:p w:rsidR="005A5DC8" w:rsidRDefault="005A5DC8" w:rsidP="005A5DC8">
      <w:pPr>
        <w:ind w:firstLine="720"/>
        <w:rPr>
          <w:bCs/>
          <w:sz w:val="22"/>
          <w:szCs w:val="22"/>
        </w:rPr>
      </w:pPr>
    </w:p>
    <w:p w:rsidR="005A5DC8" w:rsidRDefault="005A5DC8" w:rsidP="005A5DC8">
      <w:pPr>
        <w:ind w:left="720"/>
        <w:rPr>
          <w:bCs/>
          <w:sz w:val="22"/>
          <w:szCs w:val="22"/>
        </w:rPr>
      </w:pPr>
      <w:r w:rsidRPr="005A5DC8">
        <w:rPr>
          <w:b/>
          <w:bCs/>
          <w:sz w:val="22"/>
          <w:szCs w:val="22"/>
          <w:u w:val="single"/>
        </w:rPr>
        <w:t>Resolution 249-2022:</w:t>
      </w:r>
      <w:r>
        <w:rPr>
          <w:bCs/>
          <w:sz w:val="22"/>
          <w:szCs w:val="22"/>
        </w:rPr>
        <w:t xml:space="preserve">  A resolution approving authorization for Mike Polosky of Efficient Energy Solutions to lock in 50% of the county’s natural gas supply for a period of twenty-four (24) months for an amount not to exceed 4.39.</w:t>
      </w:r>
    </w:p>
    <w:p w:rsidR="005A5DC8" w:rsidRDefault="005A5DC8" w:rsidP="005A5DC8">
      <w:pPr>
        <w:ind w:left="720"/>
        <w:rPr>
          <w:bCs/>
          <w:sz w:val="22"/>
          <w:szCs w:val="22"/>
        </w:rPr>
      </w:pPr>
    </w:p>
    <w:p w:rsidR="005A5DC8" w:rsidRDefault="005A5DC8" w:rsidP="005A5DC8">
      <w:pPr>
        <w:ind w:firstLine="720"/>
        <w:rPr>
          <w:bCs/>
          <w:sz w:val="22"/>
          <w:szCs w:val="22"/>
        </w:rPr>
      </w:pPr>
      <w:r>
        <w:rPr>
          <w:bCs/>
          <w:sz w:val="22"/>
          <w:szCs w:val="22"/>
        </w:rPr>
        <w:t>Motion by Commissioner Erb, seconded by Commissioner Webster and unanimously approved to adopt Resolution 249-2022.</w:t>
      </w:r>
    </w:p>
    <w:p w:rsidR="005A5DC8" w:rsidRPr="005A5DC8" w:rsidRDefault="005A5DC8" w:rsidP="005A5DC8">
      <w:pPr>
        <w:rPr>
          <w:bCs/>
          <w:sz w:val="22"/>
          <w:szCs w:val="22"/>
        </w:rPr>
      </w:pPr>
    </w:p>
    <w:p w:rsidR="00FF3CD2" w:rsidRDefault="003F7CEA" w:rsidP="003F7CEA">
      <w:pPr>
        <w:rPr>
          <w:b/>
          <w:bCs/>
          <w:sz w:val="22"/>
          <w:szCs w:val="22"/>
          <w:u w:val="single"/>
        </w:rPr>
      </w:pPr>
      <w:r w:rsidRPr="003F7CEA">
        <w:rPr>
          <w:b/>
          <w:bCs/>
          <w:sz w:val="22"/>
          <w:szCs w:val="22"/>
          <w:u w:val="single"/>
        </w:rPr>
        <w:t>New Business:</w:t>
      </w:r>
    </w:p>
    <w:p w:rsidR="003F7CEA" w:rsidRPr="003F7CEA" w:rsidRDefault="003F7CEA" w:rsidP="003F7CEA">
      <w:pPr>
        <w:rPr>
          <w:bCs/>
          <w:sz w:val="22"/>
          <w:szCs w:val="22"/>
        </w:rPr>
      </w:pPr>
      <w:r w:rsidRPr="003F7CEA">
        <w:rPr>
          <w:bCs/>
          <w:sz w:val="22"/>
          <w:szCs w:val="22"/>
        </w:rPr>
        <w:t>None</w:t>
      </w:r>
    </w:p>
    <w:p w:rsidR="00FF3CD2" w:rsidRPr="003F7CEA" w:rsidRDefault="00FF3CD2" w:rsidP="00FF3CD2">
      <w:pPr>
        <w:pStyle w:val="ListParagraph"/>
        <w:rPr>
          <w:bCs/>
          <w:sz w:val="22"/>
          <w:szCs w:val="22"/>
          <w:u w:val="single"/>
        </w:rPr>
      </w:pPr>
    </w:p>
    <w:p w:rsidR="00FF3CD2" w:rsidRPr="003F7CEA" w:rsidRDefault="003F7CEA" w:rsidP="003F7CEA">
      <w:pPr>
        <w:rPr>
          <w:b/>
          <w:sz w:val="22"/>
          <w:szCs w:val="22"/>
          <w:u w:val="single"/>
        </w:rPr>
      </w:pPr>
      <w:r w:rsidRPr="003F7CEA">
        <w:rPr>
          <w:b/>
          <w:bCs/>
          <w:sz w:val="22"/>
          <w:szCs w:val="22"/>
          <w:u w:val="single"/>
        </w:rPr>
        <w:t>Adjourn:</w:t>
      </w:r>
    </w:p>
    <w:p w:rsidR="00FF3CD2" w:rsidRPr="003F7CEA" w:rsidRDefault="003F7CEA" w:rsidP="00FF3CD2">
      <w:pPr>
        <w:rPr>
          <w:sz w:val="22"/>
          <w:szCs w:val="22"/>
        </w:rPr>
      </w:pPr>
      <w:r w:rsidRPr="003F7CEA">
        <w:rPr>
          <w:sz w:val="22"/>
          <w:szCs w:val="22"/>
        </w:rPr>
        <w:t>Meeting Adjourned,</w:t>
      </w:r>
    </w:p>
    <w:p w:rsidR="003F7CEA" w:rsidRPr="003F7CEA" w:rsidRDefault="003F7CEA" w:rsidP="00FF3CD2">
      <w:pPr>
        <w:rPr>
          <w:sz w:val="22"/>
          <w:szCs w:val="22"/>
        </w:rPr>
      </w:pPr>
    </w:p>
    <w:p w:rsidR="003F7CEA" w:rsidRPr="003F7CEA" w:rsidRDefault="003F7CEA" w:rsidP="00FF3CD2">
      <w:pPr>
        <w:rPr>
          <w:sz w:val="22"/>
          <w:szCs w:val="22"/>
        </w:rPr>
      </w:pPr>
    </w:p>
    <w:p w:rsidR="003F7CEA" w:rsidRPr="003F7CEA" w:rsidRDefault="00CA29AC" w:rsidP="00FF3CD2">
      <w:pPr>
        <w:rPr>
          <w:sz w:val="22"/>
          <w:szCs w:val="22"/>
        </w:rPr>
      </w:pPr>
      <w:r>
        <w:rPr>
          <w:sz w:val="22"/>
          <w:szCs w:val="22"/>
        </w:rPr>
        <w:t>_________________________________</w:t>
      </w:r>
      <w:r w:rsidR="003F7CEA" w:rsidRPr="003F7CEA">
        <w:rPr>
          <w:sz w:val="22"/>
          <w:szCs w:val="22"/>
        </w:rPr>
        <w:t>____________________________________</w:t>
      </w:r>
    </w:p>
    <w:p w:rsidR="003F7CEA" w:rsidRPr="003F7CEA" w:rsidRDefault="003F7CEA" w:rsidP="00FF3CD2">
      <w:pPr>
        <w:rPr>
          <w:sz w:val="22"/>
          <w:szCs w:val="22"/>
        </w:rPr>
      </w:pPr>
      <w:r w:rsidRPr="003F7CEA">
        <w:rPr>
          <w:sz w:val="22"/>
          <w:szCs w:val="22"/>
        </w:rPr>
        <w:t>Nicole M. Hemminger, Chief Clerk</w:t>
      </w:r>
    </w:p>
    <w:p w:rsidR="00FF3CD2" w:rsidRPr="00C90C95" w:rsidRDefault="00FF3CD2" w:rsidP="00FF3CD2"/>
    <w:p w:rsidR="00FF3CD2" w:rsidRPr="00C90C95" w:rsidRDefault="00FF3CD2"/>
    <w:sectPr w:rsidR="00FF3CD2" w:rsidRPr="00C90C95" w:rsidSect="006C395F">
      <w:pgSz w:w="12240" w:h="20160" w:code="5"/>
      <w:pgMar w:top="245"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B54BF"/>
    <w:multiLevelType w:val="hybridMultilevel"/>
    <w:tmpl w:val="EA007F0A"/>
    <w:lvl w:ilvl="0" w:tplc="DF2EA322">
      <w:start w:val="1"/>
      <w:numFmt w:val="lowerLetter"/>
      <w:lvlText w:val="%1."/>
      <w:lvlJc w:val="righ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13235FD5"/>
    <w:multiLevelType w:val="hybridMultilevel"/>
    <w:tmpl w:val="F84AF37E"/>
    <w:lvl w:ilvl="0" w:tplc="ABC4F590">
      <w:start w:val="1"/>
      <w:numFmt w:val="decimal"/>
      <w:lvlText w:val="%1."/>
      <w:lvlJc w:val="left"/>
      <w:pPr>
        <w:tabs>
          <w:tab w:val="num" w:pos="1080"/>
        </w:tabs>
        <w:ind w:left="1080" w:hanging="720"/>
      </w:pPr>
      <w:rPr>
        <w:b w:val="0"/>
      </w:rPr>
    </w:lvl>
    <w:lvl w:ilvl="1" w:tplc="3076A290">
      <w:start w:val="1"/>
      <w:numFmt w:val="lowerLetter"/>
      <w:lvlText w:val="%2."/>
      <w:lvlJc w:val="left"/>
      <w:pPr>
        <w:tabs>
          <w:tab w:val="num" w:pos="1440"/>
        </w:tabs>
        <w:ind w:left="1440" w:hanging="360"/>
      </w:pPr>
      <w:rPr>
        <w:sz w:val="24"/>
        <w:szCs w:val="24"/>
      </w:rPr>
    </w:lvl>
    <w:lvl w:ilvl="2" w:tplc="BE80A6EC">
      <w:start w:val="1"/>
      <w:numFmt w:val="lowerLetter"/>
      <w:lvlText w:val="%3."/>
      <w:lvlJc w:val="right"/>
      <w:pPr>
        <w:tabs>
          <w:tab w:val="num" w:pos="2250"/>
        </w:tabs>
        <w:ind w:left="2250" w:hanging="180"/>
      </w:pPr>
      <w:rPr>
        <w:rFonts w:ascii="Times New Roman" w:eastAsia="Times New Roman" w:hAnsi="Times New Roman" w:cs="Times New Roman"/>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86468AF"/>
    <w:multiLevelType w:val="hybridMultilevel"/>
    <w:tmpl w:val="292621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D712951"/>
    <w:multiLevelType w:val="hybridMultilevel"/>
    <w:tmpl w:val="83DC1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FA7494"/>
    <w:multiLevelType w:val="hybridMultilevel"/>
    <w:tmpl w:val="908E2380"/>
    <w:lvl w:ilvl="0" w:tplc="8AD2F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9A722A"/>
    <w:multiLevelType w:val="hybridMultilevel"/>
    <w:tmpl w:val="232A50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2E0B54"/>
    <w:multiLevelType w:val="hybridMultilevel"/>
    <w:tmpl w:val="5E78883E"/>
    <w:lvl w:ilvl="0" w:tplc="8AD2F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9739DE"/>
    <w:multiLevelType w:val="hybridMultilevel"/>
    <w:tmpl w:val="B28C2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6819CF"/>
    <w:multiLevelType w:val="hybridMultilevel"/>
    <w:tmpl w:val="9F1ED4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3C6984"/>
    <w:multiLevelType w:val="hybridMultilevel"/>
    <w:tmpl w:val="B0BC9F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D436DAF"/>
    <w:multiLevelType w:val="hybridMultilevel"/>
    <w:tmpl w:val="BAEC77A0"/>
    <w:lvl w:ilvl="0" w:tplc="FDB011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7D0A4F"/>
    <w:multiLevelType w:val="hybridMultilevel"/>
    <w:tmpl w:val="763A14FE"/>
    <w:lvl w:ilvl="0" w:tplc="ECF6387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2A4B46"/>
    <w:multiLevelType w:val="hybridMultilevel"/>
    <w:tmpl w:val="1D70A8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0AE6369"/>
    <w:multiLevelType w:val="hybridMultilevel"/>
    <w:tmpl w:val="CBA65E72"/>
    <w:lvl w:ilvl="0" w:tplc="0456BB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2A232E9"/>
    <w:multiLevelType w:val="hybridMultilevel"/>
    <w:tmpl w:val="C62036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A027DAD"/>
    <w:multiLevelType w:val="hybridMultilevel"/>
    <w:tmpl w:val="361630B2"/>
    <w:lvl w:ilvl="0" w:tplc="F4727050">
      <w:start w:val="1"/>
      <w:numFmt w:val="decimal"/>
      <w:lvlText w:val="%1."/>
      <w:lvlJc w:val="right"/>
      <w:pPr>
        <w:ind w:left="216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C8C6633"/>
    <w:multiLevelType w:val="hybridMultilevel"/>
    <w:tmpl w:val="058AE4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8"/>
  </w:num>
  <w:num w:numId="5">
    <w:abstractNumId w:val="5"/>
  </w:num>
  <w:num w:numId="6">
    <w:abstractNumId w:val="15"/>
  </w:num>
  <w:num w:numId="7">
    <w:abstractNumId w:val="11"/>
  </w:num>
  <w:num w:numId="8">
    <w:abstractNumId w:val="12"/>
  </w:num>
  <w:num w:numId="9">
    <w:abstractNumId w:val="2"/>
  </w:num>
  <w:num w:numId="10">
    <w:abstractNumId w:val="14"/>
  </w:num>
  <w:num w:numId="11">
    <w:abstractNumId w:val="9"/>
  </w:num>
  <w:num w:numId="12">
    <w:abstractNumId w:val="0"/>
  </w:num>
  <w:num w:numId="13">
    <w:abstractNumId w:val="16"/>
  </w:num>
  <w:num w:numId="14">
    <w:abstractNumId w:val="6"/>
  </w:num>
  <w:num w:numId="15">
    <w:abstractNumId w:val="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0F"/>
    <w:rsid w:val="000800FE"/>
    <w:rsid w:val="000C4FFB"/>
    <w:rsid w:val="000F0E76"/>
    <w:rsid w:val="001077C8"/>
    <w:rsid w:val="001B26F0"/>
    <w:rsid w:val="00230D5F"/>
    <w:rsid w:val="0027282F"/>
    <w:rsid w:val="002B358E"/>
    <w:rsid w:val="002B612D"/>
    <w:rsid w:val="00340D05"/>
    <w:rsid w:val="003F7CEA"/>
    <w:rsid w:val="00474E4A"/>
    <w:rsid w:val="004C6AB1"/>
    <w:rsid w:val="004E50D4"/>
    <w:rsid w:val="00544E92"/>
    <w:rsid w:val="00580120"/>
    <w:rsid w:val="005A5DC8"/>
    <w:rsid w:val="005F5064"/>
    <w:rsid w:val="00603A2A"/>
    <w:rsid w:val="006870CE"/>
    <w:rsid w:val="006C395F"/>
    <w:rsid w:val="00702357"/>
    <w:rsid w:val="00772502"/>
    <w:rsid w:val="007975AB"/>
    <w:rsid w:val="0092280F"/>
    <w:rsid w:val="0093063F"/>
    <w:rsid w:val="00A04685"/>
    <w:rsid w:val="00A25DF8"/>
    <w:rsid w:val="00AD0FFB"/>
    <w:rsid w:val="00B24FDF"/>
    <w:rsid w:val="00B739A5"/>
    <w:rsid w:val="00BB634E"/>
    <w:rsid w:val="00C90C95"/>
    <w:rsid w:val="00CA29AC"/>
    <w:rsid w:val="00CB258C"/>
    <w:rsid w:val="00D07F84"/>
    <w:rsid w:val="00D230AD"/>
    <w:rsid w:val="00EB03B6"/>
    <w:rsid w:val="00FF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86D8"/>
  <w15:chartTrackingRefBased/>
  <w15:docId w15:val="{F18A63C5-6BC7-43FA-A41C-9136D67E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8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280F"/>
    <w:pPr>
      <w:ind w:left="720"/>
      <w:contextualSpacing/>
    </w:pPr>
  </w:style>
  <w:style w:type="paragraph" w:styleId="BalloonText">
    <w:name w:val="Balloon Text"/>
    <w:basedOn w:val="Normal"/>
    <w:link w:val="BalloonTextChar"/>
    <w:uiPriority w:val="99"/>
    <w:semiHidden/>
    <w:unhideWhenUsed/>
    <w:rsid w:val="00C90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C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991">
      <w:bodyDiv w:val="1"/>
      <w:marLeft w:val="0"/>
      <w:marRight w:val="0"/>
      <w:marTop w:val="0"/>
      <w:marBottom w:val="0"/>
      <w:divBdr>
        <w:top w:val="none" w:sz="0" w:space="0" w:color="auto"/>
        <w:left w:val="none" w:sz="0" w:space="0" w:color="auto"/>
        <w:bottom w:val="none" w:sz="0" w:space="0" w:color="auto"/>
        <w:right w:val="none" w:sz="0" w:space="0" w:color="auto"/>
      </w:divBdr>
    </w:div>
    <w:div w:id="8104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4DEF8-46B6-4910-92D7-C781AF92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Harpster</dc:creator>
  <cp:keywords/>
  <dc:description/>
  <cp:lastModifiedBy>Melissa Harpster</cp:lastModifiedBy>
  <cp:revision>25</cp:revision>
  <cp:lastPrinted>2022-07-08T19:43:00Z</cp:lastPrinted>
  <dcterms:created xsi:type="dcterms:W3CDTF">2022-07-05T15:46:00Z</dcterms:created>
  <dcterms:modified xsi:type="dcterms:W3CDTF">2022-07-13T15:42:00Z</dcterms:modified>
</cp:coreProperties>
</file>